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1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8712"/>
      </w:tblGrid>
      <w:tr w:rsidR="009C2C9E" w:rsidTr="009C2C9E">
        <w:trPr>
          <w:jc w:val="center"/>
        </w:trPr>
        <w:tc>
          <w:tcPr>
            <w:tcW w:w="2304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9C2C9E" w:rsidRDefault="009C2C9E" w:rsidP="00E124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E716A4" wp14:editId="5F5C89D6">
                  <wp:extent cx="1333500" cy="10301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2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9C2C9E" w:rsidRPr="00D3768B" w:rsidRDefault="009C2C9E" w:rsidP="00E12408">
            <w:pPr>
              <w:pStyle w:val="Title"/>
              <w:spacing w:before="120" w:after="120"/>
              <w:contextualSpacing w:val="0"/>
              <w:jc w:val="center"/>
              <w:rPr>
                <w:smallCaps/>
                <w:color w:val="595959" w:themeColor="text1" w:themeTint="A6"/>
                <w:sz w:val="32"/>
              </w:rPr>
            </w:pPr>
            <w:r w:rsidRPr="00D3768B">
              <w:rPr>
                <w:smallCaps/>
                <w:color w:val="595959" w:themeColor="text1" w:themeTint="A6"/>
                <w:sz w:val="32"/>
              </w:rPr>
              <w:t xml:space="preserve">Region </w:t>
            </w:r>
            <w:r w:rsidRPr="00D3768B">
              <w:rPr>
                <w:smallCaps/>
                <w:color w:val="595959" w:themeColor="text1" w:themeTint="A6"/>
                <w:sz w:val="32"/>
                <w:highlight w:val="yellow"/>
              </w:rPr>
              <w:t>__</w:t>
            </w:r>
            <w:r w:rsidRPr="00D3768B">
              <w:rPr>
                <w:smallCaps/>
                <w:color w:val="595959" w:themeColor="text1" w:themeTint="A6"/>
                <w:sz w:val="32"/>
              </w:rPr>
              <w:t xml:space="preserve"> Disability Access Committee</w:t>
            </w:r>
          </w:p>
          <w:p w:rsidR="009C2C9E" w:rsidRPr="00FC023E" w:rsidRDefault="009C2C9E" w:rsidP="00E12408">
            <w:pPr>
              <w:pStyle w:val="Title"/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  <w:sz w:val="44"/>
              </w:rPr>
              <w:t>Physical Accessibility Report</w:t>
            </w:r>
          </w:p>
        </w:tc>
      </w:tr>
      <w:tr w:rsidR="009C2C9E" w:rsidTr="009C2C9E">
        <w:trPr>
          <w:jc w:val="center"/>
        </w:trPr>
        <w:tc>
          <w:tcPr>
            <w:tcW w:w="11016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:rsidR="009C2C9E" w:rsidRPr="004D4A71" w:rsidRDefault="009C2C9E" w:rsidP="00E34040">
            <w:pPr>
              <w:pStyle w:val="Subtitle"/>
              <w:spacing w:before="120" w:after="120"/>
              <w:rPr>
                <w:b w:val="0"/>
                <w:noProof/>
                <w:color w:val="000000" w:themeColor="text1"/>
              </w:rPr>
            </w:pPr>
            <w:r w:rsidRPr="00D3768B">
              <w:rPr>
                <w:b w:val="0"/>
                <w:noProof/>
                <w:color w:val="595959" w:themeColor="text1" w:themeTint="A6"/>
                <w:sz w:val="20"/>
              </w:rPr>
              <w:t xml:space="preserve">Date:  </w:t>
            </w:r>
            <w:r w:rsidR="00E34040">
              <w:rPr>
                <w:b w:val="0"/>
                <w:noProof/>
                <w:color w:val="595959" w:themeColor="text1" w:themeTint="A6"/>
                <w:sz w:val="20"/>
              </w:rPr>
              <w:t>June 28</w:t>
            </w:r>
            <w:r w:rsidRPr="00D3768B">
              <w:rPr>
                <w:b w:val="0"/>
                <w:noProof/>
                <w:color w:val="595959" w:themeColor="text1" w:themeTint="A6"/>
                <w:sz w:val="20"/>
              </w:rPr>
              <w:t>, 2017</w:t>
            </w:r>
          </w:p>
        </w:tc>
      </w:tr>
    </w:tbl>
    <w:p w:rsidR="009C2C9E" w:rsidRDefault="00AB71BE" w:rsidP="00F03E60">
      <w:pPr>
        <w:pStyle w:val="Heading1"/>
      </w:pPr>
      <w:r>
        <w:t>Background:</w:t>
      </w:r>
    </w:p>
    <w:p w:rsidR="009C2C9E" w:rsidRDefault="009C2C9E" w:rsidP="0096153D">
      <w:pPr>
        <w:pStyle w:val="ListParagraph"/>
        <w:numPr>
          <w:ilvl w:val="0"/>
          <w:numId w:val="2"/>
        </w:numPr>
        <w:spacing w:after="120"/>
        <w:ind w:left="360"/>
        <w:contextualSpacing w:val="0"/>
      </w:pPr>
      <w:r w:rsidRPr="005F5CD0">
        <w:t xml:space="preserve">The State Workforce Development Board established a Disability Access Committee to lead a </w:t>
      </w:r>
      <w:r w:rsidR="0066717B">
        <w:t>Statewide Disabilit</w:t>
      </w:r>
      <w:bookmarkStart w:id="0" w:name="_GoBack"/>
      <w:bookmarkEnd w:id="0"/>
      <w:r w:rsidR="0066717B">
        <w:t>y Access Initiative</w:t>
      </w:r>
      <w:r w:rsidRPr="005F5CD0">
        <w:t xml:space="preserve"> to</w:t>
      </w:r>
      <w:r>
        <w:t>:</w:t>
      </w:r>
    </w:p>
    <w:p w:rsidR="009C2C9E" w:rsidRDefault="009C2C9E" w:rsidP="0096153D">
      <w:pPr>
        <w:pStyle w:val="ListParagraph"/>
        <w:numPr>
          <w:ilvl w:val="2"/>
          <w:numId w:val="3"/>
        </w:numPr>
        <w:spacing w:after="120"/>
        <w:ind w:left="1440"/>
        <w:contextualSpacing w:val="0"/>
      </w:pPr>
      <w:r>
        <w:t xml:space="preserve">Ensure that Iowa’s one-stop delivery system meets all accessibility requirements for individuals with disabilities under the </w:t>
      </w:r>
      <w:r w:rsidR="000057B5">
        <w:t>Iowa Civil Rights Act of 1965, as amended; the Americans with Disabilities Act of 1990, as amended; and the Workforce Innovation and Opportunity Act.</w:t>
      </w:r>
    </w:p>
    <w:p w:rsidR="009C2C9E" w:rsidRDefault="009C2C9E" w:rsidP="0096153D">
      <w:pPr>
        <w:pStyle w:val="ListParagraph"/>
        <w:numPr>
          <w:ilvl w:val="2"/>
          <w:numId w:val="3"/>
        </w:numPr>
        <w:spacing w:after="120"/>
        <w:ind w:left="1440"/>
        <w:contextualSpacing w:val="0"/>
      </w:pPr>
      <w:r>
        <w:t>I</w:t>
      </w:r>
      <w:r w:rsidRPr="005F5CD0">
        <w:t xml:space="preserve">ncrease accessibility </w:t>
      </w:r>
      <w:r>
        <w:t xml:space="preserve">for individuals with disabilities </w:t>
      </w:r>
      <w:r w:rsidRPr="005F5CD0">
        <w:t>to</w:t>
      </w:r>
      <w:r>
        <w:t xml:space="preserve"> the programs, services, and activities of</w:t>
      </w:r>
      <w:r w:rsidRPr="005F5CD0">
        <w:t xml:space="preserve"> Iowa’s one-stop delivery system</w:t>
      </w:r>
      <w:r>
        <w:t>.</w:t>
      </w:r>
    </w:p>
    <w:p w:rsidR="009C2C9E" w:rsidRDefault="009C2C9E" w:rsidP="0096153D">
      <w:pPr>
        <w:pStyle w:val="ListParagraph"/>
        <w:numPr>
          <w:ilvl w:val="2"/>
          <w:numId w:val="3"/>
        </w:numPr>
        <w:spacing w:after="120"/>
        <w:ind w:left="1440"/>
        <w:contextualSpacing w:val="0"/>
      </w:pPr>
      <w:r>
        <w:t>Continuously improve for individuals with disabilities the provision of services within the one-stop delivery system.</w:t>
      </w:r>
    </w:p>
    <w:p w:rsidR="009C2C9E" w:rsidRDefault="009C2C9E" w:rsidP="0096153D">
      <w:pPr>
        <w:pStyle w:val="ListParagraph"/>
        <w:numPr>
          <w:ilvl w:val="2"/>
          <w:numId w:val="3"/>
        </w:numPr>
        <w:ind w:left="1440"/>
        <w:contextualSpacing w:val="0"/>
      </w:pPr>
      <w:r>
        <w:t>Improve opportunities for individuals with disabilities in competitive integrated employment.</w:t>
      </w:r>
    </w:p>
    <w:p w:rsidR="00111C56" w:rsidRDefault="00111C56" w:rsidP="0096153D">
      <w:pPr>
        <w:pStyle w:val="ListParagraph"/>
        <w:numPr>
          <w:ilvl w:val="1"/>
          <w:numId w:val="2"/>
        </w:numPr>
        <w:ind w:left="360"/>
        <w:contextualSpacing w:val="0"/>
      </w:pPr>
      <w:r>
        <w:t>The Disability Access Committee used the</w:t>
      </w:r>
      <w:r w:rsidR="000057B5">
        <w:t xml:space="preserve"> 2010</w:t>
      </w:r>
      <w:r>
        <w:t xml:space="preserve"> ADA Checklist for Existing Facilities (available on</w:t>
      </w:r>
      <w:r w:rsidR="000057B5">
        <w:t>line at</w:t>
      </w:r>
      <w:r>
        <w:t xml:space="preserve"> www.ADAchecklist.org) to perform a physical accessibility assessment on </w:t>
      </w:r>
      <w:r w:rsidRPr="009C2C9E">
        <w:rPr>
          <w:highlight w:val="yellow"/>
        </w:rPr>
        <w:t>____________</w:t>
      </w:r>
      <w:r>
        <w:t xml:space="preserve">, 2017 of the facility located at: </w:t>
      </w:r>
    </w:p>
    <w:p w:rsidR="00111C56" w:rsidRPr="009C2C9E" w:rsidRDefault="00111C56" w:rsidP="006D7958">
      <w:pPr>
        <w:spacing w:after="0"/>
        <w:ind w:left="1440"/>
        <w:rPr>
          <w:highlight w:val="yellow"/>
        </w:rPr>
      </w:pPr>
      <w:r w:rsidRPr="009C2C9E">
        <w:rPr>
          <w:highlight w:val="yellow"/>
        </w:rPr>
        <w:t>Street Address</w:t>
      </w:r>
    </w:p>
    <w:p w:rsidR="00111C56" w:rsidRDefault="00111C56" w:rsidP="006D7958">
      <w:pPr>
        <w:ind w:left="1440"/>
      </w:pPr>
      <w:r w:rsidRPr="009C2C9E">
        <w:rPr>
          <w:highlight w:val="yellow"/>
        </w:rPr>
        <w:t>City, Iowa ZIP</w:t>
      </w:r>
    </w:p>
    <w:p w:rsidR="00111C56" w:rsidRDefault="00111C56" w:rsidP="0096153D">
      <w:pPr>
        <w:pStyle w:val="ListParagraph"/>
        <w:numPr>
          <w:ilvl w:val="0"/>
          <w:numId w:val="1"/>
        </w:numPr>
        <w:ind w:left="360"/>
        <w:contextualSpacing w:val="0"/>
      </w:pPr>
      <w:r>
        <w:t xml:space="preserve">This report contains the barriers identified by the Disability Access Committee during its physical accessibility assessment. </w:t>
      </w:r>
    </w:p>
    <w:p w:rsidR="009C2C9E" w:rsidRDefault="00111C56" w:rsidP="0096153D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>
        <w:t>This report’s findings are organized according to the ADA accessibility priorities identified in the Department of Justice Title III regulations, which are equally applicable to state and local government entities:</w:t>
      </w:r>
    </w:p>
    <w:p w:rsidR="00111C56" w:rsidRDefault="00111C56" w:rsidP="0096153D">
      <w:pPr>
        <w:pStyle w:val="ListParagraph"/>
        <w:numPr>
          <w:ilvl w:val="1"/>
          <w:numId w:val="8"/>
        </w:numPr>
        <w:spacing w:after="120"/>
        <w:contextualSpacing w:val="0"/>
      </w:pPr>
      <w:r>
        <w:t>Approach &amp; Entrance</w:t>
      </w:r>
    </w:p>
    <w:p w:rsidR="00111C56" w:rsidRDefault="00111C56" w:rsidP="0096153D">
      <w:pPr>
        <w:pStyle w:val="ListParagraph"/>
        <w:numPr>
          <w:ilvl w:val="1"/>
          <w:numId w:val="8"/>
        </w:numPr>
        <w:spacing w:after="120"/>
        <w:contextualSpacing w:val="0"/>
      </w:pPr>
      <w:r>
        <w:t>Goods &amp; Services</w:t>
      </w:r>
    </w:p>
    <w:p w:rsidR="00111C56" w:rsidRDefault="00111C56" w:rsidP="0096153D">
      <w:pPr>
        <w:pStyle w:val="ListParagraph"/>
        <w:numPr>
          <w:ilvl w:val="1"/>
          <w:numId w:val="8"/>
        </w:numPr>
        <w:spacing w:after="120"/>
        <w:contextualSpacing w:val="0"/>
      </w:pPr>
      <w:r>
        <w:t>Toilet Rooms</w:t>
      </w:r>
    </w:p>
    <w:p w:rsidR="00111C56" w:rsidRDefault="00111C56" w:rsidP="0096153D">
      <w:pPr>
        <w:pStyle w:val="ListParagraph"/>
        <w:numPr>
          <w:ilvl w:val="1"/>
          <w:numId w:val="8"/>
        </w:numPr>
        <w:contextualSpacing w:val="0"/>
      </w:pPr>
      <w:r>
        <w:t>Additional Access</w:t>
      </w:r>
    </w:p>
    <w:p w:rsidR="00AB71BE" w:rsidRDefault="00AB71BE" w:rsidP="0096153D">
      <w:pPr>
        <w:pStyle w:val="Heading1"/>
        <w:numPr>
          <w:ilvl w:val="4"/>
          <w:numId w:val="3"/>
        </w:numPr>
        <w:ind w:left="720"/>
      </w:pPr>
      <w:r>
        <w:lastRenderedPageBreak/>
        <w:t xml:space="preserve">Approach </w:t>
      </w:r>
      <w:r w:rsidR="00CD1E79">
        <w:t>&amp;</w:t>
      </w:r>
      <w:r>
        <w:t xml:space="preserve"> Entrance</w:t>
      </w:r>
    </w:p>
    <w:p w:rsidR="002F2443" w:rsidRDefault="00CD1E79" w:rsidP="0096153D">
      <w:pPr>
        <w:pStyle w:val="Heading2"/>
        <w:numPr>
          <w:ilvl w:val="0"/>
          <w:numId w:val="5"/>
        </w:numPr>
        <w:ind w:left="360"/>
      </w:pPr>
      <w:r>
        <w:t>An accessible route from site arrival points and an accessible entrance should be provided for everyone.</w:t>
      </w:r>
      <w:r w:rsidR="002F2443">
        <w:t xml:space="preserve"> </w:t>
      </w:r>
    </w:p>
    <w:p w:rsidR="0066717B" w:rsidRDefault="002F2443" w:rsidP="0096153D">
      <w:pPr>
        <w:pStyle w:val="Heading2"/>
        <w:numPr>
          <w:ilvl w:val="0"/>
          <w:numId w:val="5"/>
        </w:numPr>
        <w:ind w:left="360"/>
      </w:pPr>
      <w:r>
        <w:t>There should be at least one route from all site arrival points that does not require the use of stairs.</w:t>
      </w:r>
    </w:p>
    <w:p w:rsidR="00CD1E79" w:rsidRPr="00CD1E79" w:rsidRDefault="0066717B" w:rsidP="0096153D">
      <w:pPr>
        <w:pStyle w:val="Heading2"/>
        <w:numPr>
          <w:ilvl w:val="0"/>
          <w:numId w:val="5"/>
        </w:numPr>
        <w:spacing w:after="720"/>
        <w:ind w:left="360"/>
      </w:pPr>
      <w:r>
        <w:t>Site arrival points include:  parking, passenger loading zones, public sidewalks, and public transportation stops.</w:t>
      </w:r>
    </w:p>
    <w:p w:rsidR="00AB71BE" w:rsidRDefault="00CD1E79" w:rsidP="0096153D">
      <w:pPr>
        <w:pStyle w:val="Heading3"/>
        <w:numPr>
          <w:ilvl w:val="1"/>
          <w:numId w:val="4"/>
        </w:numPr>
      </w:pPr>
      <w:r>
        <w:t>Parking.</w:t>
      </w:r>
    </w:p>
    <w:p w:rsidR="005A53AE" w:rsidRDefault="002F2443" w:rsidP="002F2443">
      <w:r>
        <w:t>The Disability Access Committee identified the following barriers in sections 1.2–1.12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96153D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96153D">
        <w:tc>
          <w:tcPr>
            <w:tcW w:w="3438" w:type="dxa"/>
          </w:tcPr>
          <w:p w:rsidR="0096153D" w:rsidRPr="0096153D" w:rsidRDefault="0096153D" w:rsidP="002F2443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2F2443">
            <w:r w:rsidRPr="00901BAD">
              <w:t>1.</w:t>
            </w:r>
            <w:r w:rsidRPr="005604FD">
              <w:rPr>
                <w:highlight w:val="yellow"/>
              </w:rPr>
              <w:t>2</w:t>
            </w:r>
          </w:p>
        </w:tc>
      </w:tr>
      <w:tr w:rsidR="0096153D" w:rsidTr="0096153D">
        <w:tc>
          <w:tcPr>
            <w:tcW w:w="3438" w:type="dxa"/>
          </w:tcPr>
          <w:p w:rsidR="0096153D" w:rsidRPr="0096153D" w:rsidRDefault="0096153D" w:rsidP="002F2443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2F2443">
            <w:r w:rsidRPr="00901BAD">
              <w:rPr>
                <w:highlight w:val="yellow"/>
              </w:rPr>
              <w:t>There is not enough accessible parking space. The facility has 28 total public parking spots, but only one accessible parking space when it should have two.</w:t>
            </w:r>
          </w:p>
        </w:tc>
      </w:tr>
    </w:tbl>
    <w:p w:rsidR="0096153D" w:rsidRDefault="0096153D" w:rsidP="002F2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5604FD">
              <w:rPr>
                <w:highlight w:val="yellow"/>
              </w:rPr>
              <w:t>3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A van accessible space must be at least 11 feet wide with an aisle that’s at least 5 feet wid</w:t>
            </w:r>
            <w:r>
              <w:rPr>
                <w:highlight w:val="yellow"/>
              </w:rPr>
              <w:t>e. The facility does not have a van</w:t>
            </w:r>
            <w:r w:rsidRPr="00901BAD">
              <w:rPr>
                <w:highlight w:val="yellow"/>
              </w:rPr>
              <w:t xml:space="preserve"> accessible parking space that’s at least 11 feet wide. The facility does not have a van accessible parking space with an aisle that’s at least 5 feet wide.</w:t>
            </w:r>
          </w:p>
        </w:tc>
      </w:tr>
    </w:tbl>
    <w:p w:rsidR="0096153D" w:rsidRDefault="0096153D" w:rsidP="002F2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96153D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2F2443"/>
    <w:p w:rsidR="005604FD" w:rsidRPr="005A53AE" w:rsidRDefault="005604FD" w:rsidP="005604FD"/>
    <w:p w:rsidR="00F03E60" w:rsidRDefault="00F03E60" w:rsidP="0096153D">
      <w:pPr>
        <w:pStyle w:val="Heading3"/>
        <w:numPr>
          <w:ilvl w:val="1"/>
          <w:numId w:val="4"/>
        </w:numPr>
      </w:pPr>
      <w:r>
        <w:lastRenderedPageBreak/>
        <w:t>Exterior Accessible Route.</w:t>
      </w:r>
    </w:p>
    <w:p w:rsidR="002F2443" w:rsidRDefault="002F2443" w:rsidP="002F2443">
      <w:r>
        <w:t xml:space="preserve">The Disability Access Committee identified the following barriers in sections </w:t>
      </w:r>
      <w:r w:rsidR="0066717B">
        <w:t>1.13–1.18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AC5717" w:rsidRDefault="00AC5717" w:rsidP="00AC57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AC57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AC5717"/>
    <w:p w:rsidR="00F03E60" w:rsidRDefault="00F03E60" w:rsidP="0096153D">
      <w:pPr>
        <w:pStyle w:val="Heading3"/>
        <w:numPr>
          <w:ilvl w:val="1"/>
          <w:numId w:val="4"/>
        </w:numPr>
      </w:pPr>
      <w:r>
        <w:t>Curb Ramps.</w:t>
      </w:r>
    </w:p>
    <w:p w:rsidR="00F03E60" w:rsidRDefault="0066717B" w:rsidP="0066717B">
      <w:r>
        <w:t>The Disability Access Committee identified the following barriers in sections 1.19–1.24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8D1A1E" w:rsidRDefault="008D1A1E" w:rsidP="008D1A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8D1A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Pr="002F2443" w:rsidRDefault="0096153D" w:rsidP="008D1A1E"/>
    <w:p w:rsidR="00F03E60" w:rsidRDefault="00F03E60" w:rsidP="0096153D">
      <w:pPr>
        <w:pStyle w:val="Heading3"/>
        <w:numPr>
          <w:ilvl w:val="1"/>
          <w:numId w:val="4"/>
        </w:numPr>
      </w:pPr>
      <w:r>
        <w:t>Exterior Ramps.</w:t>
      </w:r>
    </w:p>
    <w:p w:rsidR="0066717B" w:rsidRDefault="0066717B" w:rsidP="0066717B">
      <w:r>
        <w:t>The Disability Access Committee identified the following barriers in sections 1.25–1.36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D3768B" w:rsidRDefault="00D3768B" w:rsidP="00D3768B"/>
    <w:p w:rsidR="00F03E60" w:rsidRDefault="00F03E60" w:rsidP="0096153D">
      <w:pPr>
        <w:pStyle w:val="Heading3"/>
        <w:numPr>
          <w:ilvl w:val="1"/>
          <w:numId w:val="4"/>
        </w:numPr>
      </w:pPr>
      <w:r>
        <w:t>Entrance(s).</w:t>
      </w:r>
    </w:p>
    <w:p w:rsidR="0066717B" w:rsidRDefault="0066717B" w:rsidP="0066717B">
      <w:r>
        <w:t>The Disability Access Committee identified the following barriers in sections 1.37–1.49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lastRenderedPageBreak/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t>1.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D3768B" w:rsidRDefault="00D3768B" w:rsidP="00D3768B"/>
    <w:p w:rsidR="00F03E60" w:rsidRPr="00F03E60" w:rsidRDefault="00F03E60" w:rsidP="0096153D">
      <w:pPr>
        <w:pStyle w:val="Heading1"/>
        <w:numPr>
          <w:ilvl w:val="0"/>
          <w:numId w:val="4"/>
        </w:numPr>
      </w:pPr>
      <w:r>
        <w:t xml:space="preserve">  Access to Goods &amp; Services</w:t>
      </w:r>
    </w:p>
    <w:p w:rsidR="0066717B" w:rsidRPr="0066717B" w:rsidRDefault="0066717B" w:rsidP="0096153D">
      <w:pPr>
        <w:pStyle w:val="Heading2"/>
        <w:numPr>
          <w:ilvl w:val="0"/>
          <w:numId w:val="5"/>
        </w:numPr>
        <w:spacing w:after="720"/>
        <w:ind w:left="360"/>
      </w:pPr>
      <w:r>
        <w:t>The layout of the building should allow people with disabilities to obtain goods and services and to participate in activities without assistance.</w:t>
      </w:r>
    </w:p>
    <w:p w:rsidR="0066717B" w:rsidRDefault="0066717B" w:rsidP="0096153D">
      <w:pPr>
        <w:pStyle w:val="Heading3"/>
        <w:numPr>
          <w:ilvl w:val="1"/>
          <w:numId w:val="4"/>
        </w:numPr>
      </w:pPr>
      <w:r>
        <w:t>Accessible Entrance(s).</w:t>
      </w:r>
    </w:p>
    <w:p w:rsidR="0066717B" w:rsidRDefault="0066717B" w:rsidP="0066717B">
      <w:r>
        <w:t>The Disability Access Committee identified the following barriers in section 2.1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BA2C58" w:rsidRDefault="00BA2C58" w:rsidP="0096153D">
      <w:pPr>
        <w:pStyle w:val="Heading3"/>
        <w:numPr>
          <w:ilvl w:val="1"/>
          <w:numId w:val="4"/>
        </w:numPr>
      </w:pPr>
      <w:r>
        <w:t>Interior Accessible Route.</w:t>
      </w:r>
    </w:p>
    <w:p w:rsidR="0066717B" w:rsidRDefault="0066717B" w:rsidP="0066717B">
      <w:r>
        <w:t xml:space="preserve">The Disability Access Committee identified the following barriers in sections </w:t>
      </w:r>
      <w:r w:rsidR="00E12408">
        <w:t>2.2–2.9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264F28" w:rsidRPr="00BA2C58" w:rsidRDefault="00264F28" w:rsidP="00264F28"/>
    <w:p w:rsidR="00F03E60" w:rsidRDefault="00F03E60" w:rsidP="0096153D">
      <w:pPr>
        <w:pStyle w:val="Heading3"/>
        <w:numPr>
          <w:ilvl w:val="1"/>
          <w:numId w:val="4"/>
        </w:numPr>
      </w:pPr>
      <w:r>
        <w:t>Interior Ramps.</w:t>
      </w:r>
    </w:p>
    <w:p w:rsidR="00E12408" w:rsidRDefault="00E12408" w:rsidP="00E12408">
      <w:r>
        <w:t>The Disability Access Committee identified the following barriers in sections 2.10–2.21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264F28" w:rsidRDefault="00264F28" w:rsidP="00BE41DC"/>
    <w:p w:rsidR="00F03E60" w:rsidRPr="00F03E60" w:rsidRDefault="00F03E60" w:rsidP="0096153D">
      <w:pPr>
        <w:pStyle w:val="Heading3"/>
        <w:numPr>
          <w:ilvl w:val="1"/>
          <w:numId w:val="4"/>
        </w:numPr>
      </w:pPr>
      <w:r>
        <w:t>Elevators.</w:t>
      </w:r>
    </w:p>
    <w:p w:rsidR="00E12408" w:rsidRDefault="00E12408" w:rsidP="00E12408">
      <w:r>
        <w:t>The Disability Access Committee identified the following barriers in sections 2.22–2.31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0057B5" w:rsidRDefault="000057B5" w:rsidP="000057B5"/>
    <w:p w:rsidR="00CD1E79" w:rsidRDefault="00F03E60" w:rsidP="0096153D">
      <w:pPr>
        <w:pStyle w:val="Heading3"/>
        <w:numPr>
          <w:ilvl w:val="1"/>
          <w:numId w:val="4"/>
        </w:numPr>
      </w:pPr>
      <w:r>
        <w:t>Platform Lifts.</w:t>
      </w:r>
    </w:p>
    <w:p w:rsidR="00E12408" w:rsidRDefault="00E12408" w:rsidP="00E12408">
      <w:r>
        <w:t>The Disability Access Committee identified the following barriers in sections 2.32–2.37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6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0057B5" w:rsidRDefault="000057B5" w:rsidP="0096153D"/>
    <w:p w:rsidR="00F03E60" w:rsidRDefault="00F03E60" w:rsidP="0096153D">
      <w:pPr>
        <w:pStyle w:val="Heading3"/>
        <w:numPr>
          <w:ilvl w:val="1"/>
          <w:numId w:val="4"/>
        </w:numPr>
      </w:pPr>
      <w:r>
        <w:t>Signs.</w:t>
      </w:r>
    </w:p>
    <w:p w:rsidR="00E12408" w:rsidRDefault="00E12408" w:rsidP="00E12408">
      <w:r>
        <w:t>The Disability Access Committee identified the following barriers in sections 2.38–2.39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0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E27AC3" w:rsidRDefault="00E27AC3" w:rsidP="00E27AC3"/>
    <w:p w:rsidR="00F03E60" w:rsidRDefault="00F03E60" w:rsidP="0096153D">
      <w:pPr>
        <w:pStyle w:val="Heading3"/>
        <w:numPr>
          <w:ilvl w:val="1"/>
          <w:numId w:val="4"/>
        </w:numPr>
      </w:pPr>
      <w:r>
        <w:t>Interior Doors.</w:t>
      </w:r>
    </w:p>
    <w:p w:rsidR="00E12408" w:rsidRDefault="00E12408" w:rsidP="00E12408">
      <w:r>
        <w:t>The Disability Access Committee identified the following barriers in sections 2.40–2.46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1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Rooms &amp; Spaces.</w:t>
      </w:r>
    </w:p>
    <w:p w:rsidR="00E12408" w:rsidRDefault="00E12408" w:rsidP="00E12408">
      <w:r>
        <w:t>The Disability Access Committee identified the following barriers in sections 2.47–2.49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2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Controls.</w:t>
      </w:r>
    </w:p>
    <w:p w:rsidR="00E12408" w:rsidRDefault="00E12408" w:rsidP="00E12408">
      <w:r>
        <w:t>The Disability Access Committee identified the following barriers in sections 2.50–2.51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3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E12408" w:rsidP="0096153D">
      <w:pPr>
        <w:pStyle w:val="Heading3"/>
        <w:numPr>
          <w:ilvl w:val="1"/>
          <w:numId w:val="4"/>
        </w:numPr>
      </w:pPr>
      <w:r>
        <w:t>Seating &amp; Benches.</w:t>
      </w:r>
    </w:p>
    <w:p w:rsidR="00E12408" w:rsidRDefault="00E12408" w:rsidP="00E12408">
      <w:r>
        <w:t>The Disability Access Committee identified the following barriers in sections 2.52–2.69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4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Sales and Service Counters.</w:t>
      </w:r>
    </w:p>
    <w:p w:rsidR="00E12408" w:rsidRDefault="00E12408" w:rsidP="00E12408">
      <w:r>
        <w:t>The Disability Access Committee identified the following barriers in sections 2.76–2.80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5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2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1"/>
        <w:numPr>
          <w:ilvl w:val="0"/>
          <w:numId w:val="4"/>
        </w:numPr>
      </w:pPr>
      <w:r>
        <w:t>Toilet Rooms</w:t>
      </w:r>
    </w:p>
    <w:p w:rsidR="00BA2C58" w:rsidRDefault="00E12408" w:rsidP="0096153D">
      <w:pPr>
        <w:pStyle w:val="Heading2"/>
        <w:numPr>
          <w:ilvl w:val="0"/>
          <w:numId w:val="7"/>
        </w:numPr>
        <w:spacing w:after="720"/>
        <w:ind w:left="360"/>
      </w:pPr>
      <w:r>
        <w:t xml:space="preserve">When toilet rooms are open to the public they </w:t>
      </w:r>
      <w:r w:rsidR="001B2358">
        <w:t>should</w:t>
      </w:r>
      <w:r>
        <w:t xml:space="preserve"> be accessible to people with disabilities.</w:t>
      </w:r>
    </w:p>
    <w:p w:rsidR="00BA2C58" w:rsidRDefault="00BA2C58" w:rsidP="0096153D">
      <w:pPr>
        <w:pStyle w:val="Heading3"/>
        <w:numPr>
          <w:ilvl w:val="1"/>
          <w:numId w:val="4"/>
        </w:numPr>
      </w:pPr>
      <w:r>
        <w:t>Toilet Rooms.</w:t>
      </w:r>
    </w:p>
    <w:p w:rsidR="00E12408" w:rsidRDefault="00E12408" w:rsidP="00E12408">
      <w:r>
        <w:t>The Disability Access Committee identified the following barriers in sections 3.1–3.3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6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AC5717" w:rsidRDefault="00AC5717" w:rsidP="00AC5717"/>
    <w:p w:rsidR="00BA2C58" w:rsidRDefault="00BA2C58" w:rsidP="0096153D">
      <w:pPr>
        <w:pStyle w:val="Heading3"/>
        <w:numPr>
          <w:ilvl w:val="1"/>
          <w:numId w:val="4"/>
        </w:numPr>
      </w:pPr>
      <w:r>
        <w:t>Accessible Route.</w:t>
      </w:r>
    </w:p>
    <w:p w:rsidR="00E12408" w:rsidRDefault="00E12408" w:rsidP="00E12408">
      <w:r>
        <w:t>The Disability Access Committee identified th</w:t>
      </w:r>
      <w:r w:rsidR="00AC5717">
        <w:t>e following barriers in section 3.4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7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AC5717" w:rsidRDefault="00AC5717" w:rsidP="0096153D"/>
    <w:p w:rsidR="00BA2C58" w:rsidRDefault="00BA2C58" w:rsidP="0096153D">
      <w:pPr>
        <w:pStyle w:val="Heading3"/>
        <w:numPr>
          <w:ilvl w:val="1"/>
          <w:numId w:val="4"/>
        </w:numPr>
      </w:pPr>
      <w:r>
        <w:t>Signs at Toilet Rooms.</w:t>
      </w:r>
    </w:p>
    <w:p w:rsidR="00E12408" w:rsidRDefault="00E12408" w:rsidP="00E12408">
      <w:r>
        <w:t>The Disability Access Committee identified th</w:t>
      </w:r>
      <w:r w:rsidR="00AC5717">
        <w:t>e following barriers in section</w:t>
      </w:r>
      <w:r>
        <w:t xml:space="preserve"> </w:t>
      </w:r>
      <w:r w:rsidR="00AC5717">
        <w:t xml:space="preserve">3.5 </w:t>
      </w:r>
      <w:r>
        <w:t>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8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AC5717" w:rsidRDefault="00AC5717" w:rsidP="00AC5717"/>
    <w:p w:rsidR="00BA2C58" w:rsidRDefault="00BA2C58" w:rsidP="0096153D">
      <w:pPr>
        <w:pStyle w:val="Heading3"/>
        <w:numPr>
          <w:ilvl w:val="1"/>
          <w:numId w:val="4"/>
        </w:numPr>
      </w:pPr>
      <w:r>
        <w:t>Entrance.</w:t>
      </w:r>
    </w:p>
    <w:p w:rsidR="00E12408" w:rsidRDefault="00E12408" w:rsidP="00E12408">
      <w:r>
        <w:t xml:space="preserve">The Disability Access Committee identified the following barriers in sections </w:t>
      </w:r>
      <w:r w:rsidR="00AC5717">
        <w:t>3.6–3.15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19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AC5717" w:rsidRDefault="00AC5717" w:rsidP="00AC5717"/>
    <w:p w:rsidR="00BA2C58" w:rsidRDefault="00BA2C58" w:rsidP="0096153D">
      <w:pPr>
        <w:pStyle w:val="Heading3"/>
        <w:numPr>
          <w:ilvl w:val="1"/>
          <w:numId w:val="4"/>
        </w:numPr>
      </w:pPr>
      <w:r>
        <w:t>In the Toilet Room.</w:t>
      </w:r>
    </w:p>
    <w:p w:rsidR="00E12408" w:rsidRDefault="00E12408" w:rsidP="00E12408">
      <w:r>
        <w:t xml:space="preserve">The Disability Access Committee identified the </w:t>
      </w:r>
      <w:r w:rsidR="00AC5717">
        <w:t>following barriers in sections 3.16</w:t>
      </w:r>
      <w:r>
        <w:t>–</w:t>
      </w:r>
      <w:r w:rsidR="00AC5717">
        <w:t>3.</w:t>
      </w:r>
      <w:r w:rsidR="00E27AC3">
        <w:t>20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0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Lavatories.</w:t>
      </w:r>
    </w:p>
    <w:p w:rsidR="00E12408" w:rsidRDefault="00E12408" w:rsidP="00E12408">
      <w:r>
        <w:t xml:space="preserve">The Disability Access Committee identified the following barriers in sections </w:t>
      </w:r>
      <w:r w:rsidR="00E27AC3">
        <w:t>3.21</w:t>
      </w:r>
      <w:r>
        <w:t>–</w:t>
      </w:r>
      <w:r w:rsidR="00E27AC3">
        <w:t>3.27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1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Soap Dispensers &amp; Hand Dryers.</w:t>
      </w:r>
    </w:p>
    <w:p w:rsidR="00E12408" w:rsidRDefault="00E12408" w:rsidP="00E12408">
      <w:r>
        <w:t xml:space="preserve">The Disability Access Committee identified the following barriers in sections </w:t>
      </w:r>
      <w:r w:rsidR="00E27AC3">
        <w:t>3.28–3.2</w:t>
      </w:r>
      <w:r>
        <w:t>9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2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Water Closets in Single-User Toilet Rooms &amp; Compartments (Stalls).</w:t>
      </w:r>
    </w:p>
    <w:p w:rsidR="00E12408" w:rsidRDefault="00E12408" w:rsidP="00E12408">
      <w:r>
        <w:t xml:space="preserve">The Disability Access Committee identified the following barriers in sections </w:t>
      </w:r>
      <w:r w:rsidR="00E27AC3">
        <w:t>3.30–</w:t>
      </w:r>
      <w:r w:rsidR="001B2358">
        <w:t>3.40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3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BA2C58" w:rsidRDefault="00BA2C58" w:rsidP="0096153D">
      <w:pPr>
        <w:pStyle w:val="Heading3"/>
        <w:numPr>
          <w:ilvl w:val="1"/>
          <w:numId w:val="4"/>
        </w:numPr>
      </w:pPr>
      <w:r>
        <w:t>Stalls.</w:t>
      </w:r>
    </w:p>
    <w:p w:rsidR="00E12408" w:rsidRDefault="00E12408" w:rsidP="00E12408">
      <w:r>
        <w:t xml:space="preserve">The Disability Access Committee identified the following barriers in sections </w:t>
      </w:r>
      <w:r w:rsidR="001B2358">
        <w:t>3.41–3.50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4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3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9D7B82" w:rsidRDefault="009D7B82" w:rsidP="0096153D">
      <w:pPr>
        <w:pStyle w:val="Heading1"/>
        <w:numPr>
          <w:ilvl w:val="0"/>
          <w:numId w:val="4"/>
        </w:numPr>
      </w:pPr>
      <w:r>
        <w:t>Additional Access</w:t>
      </w:r>
    </w:p>
    <w:p w:rsidR="009D7B82" w:rsidRDefault="001B2358" w:rsidP="0096153D">
      <w:pPr>
        <w:pStyle w:val="Heading2"/>
        <w:numPr>
          <w:ilvl w:val="0"/>
          <w:numId w:val="9"/>
        </w:numPr>
        <w:spacing w:after="720"/>
      </w:pPr>
      <w:r>
        <w:t>Amenities such as drinking fountains and public telephones should be accessible to people with disabilities.</w:t>
      </w:r>
    </w:p>
    <w:p w:rsidR="009D7B82" w:rsidRDefault="009D7B82" w:rsidP="0096153D">
      <w:pPr>
        <w:pStyle w:val="Heading3"/>
        <w:numPr>
          <w:ilvl w:val="1"/>
          <w:numId w:val="4"/>
        </w:numPr>
      </w:pPr>
      <w:r>
        <w:t>Drinking Fountains.</w:t>
      </w:r>
    </w:p>
    <w:p w:rsidR="00E12408" w:rsidRDefault="00E12408" w:rsidP="00E12408">
      <w:r>
        <w:t xml:space="preserve">The Disability Access Committee identified the following barriers in sections </w:t>
      </w:r>
      <w:r w:rsidR="00DA2BD7">
        <w:t>4.1–4.</w:t>
      </w:r>
      <w:r>
        <w:t>9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5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D7B82" w:rsidRDefault="009D7B82" w:rsidP="009D7B82"/>
    <w:p w:rsidR="009D7B82" w:rsidRDefault="009D7B82" w:rsidP="0096153D">
      <w:pPr>
        <w:pStyle w:val="Heading3"/>
        <w:numPr>
          <w:ilvl w:val="1"/>
          <w:numId w:val="4"/>
        </w:numPr>
      </w:pPr>
      <w:r>
        <w:t>Public Telephones.</w:t>
      </w:r>
    </w:p>
    <w:p w:rsidR="00E12408" w:rsidRDefault="00E12408" w:rsidP="00E12408">
      <w:r>
        <w:t xml:space="preserve">The Disability Access Committee identified the following barriers in sections </w:t>
      </w:r>
      <w:r w:rsidR="00DA2BD7">
        <w:t>4.10</w:t>
      </w:r>
      <w:r w:rsidR="00DA2BD7">
        <w:rPr>
          <w:rFonts w:ascii="Times New Roman" w:hAnsi="Times New Roman" w:cs="Times New Roman"/>
        </w:rPr>
        <w:t xml:space="preserve">–4.19 </w:t>
      </w:r>
      <w:r>
        <w:t>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6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1B2358" w:rsidRDefault="001B2358" w:rsidP="001B2358"/>
    <w:p w:rsidR="009D7B82" w:rsidRDefault="009D7B82" w:rsidP="0096153D">
      <w:pPr>
        <w:pStyle w:val="Heading3"/>
        <w:numPr>
          <w:ilvl w:val="1"/>
          <w:numId w:val="4"/>
        </w:numPr>
      </w:pPr>
      <w:r>
        <w:t>Fire Alarm Systems.</w:t>
      </w:r>
    </w:p>
    <w:p w:rsidR="00E12408" w:rsidRDefault="00E12408" w:rsidP="00E12408">
      <w:r>
        <w:t>The Disability Access Committee identified th</w:t>
      </w:r>
      <w:r w:rsidR="00DA2BD7">
        <w:t>e following barriers in section</w:t>
      </w:r>
      <w:r>
        <w:t xml:space="preserve"> </w:t>
      </w:r>
      <w:r w:rsidR="00DA2BD7">
        <w:t>4.20</w:t>
      </w:r>
      <w:r>
        <w:t xml:space="preserve"> of the ADA Checklist for Existing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96153D">
            <w:pPr>
              <w:pStyle w:val="ListParagraph"/>
              <w:numPr>
                <w:ilvl w:val="0"/>
                <w:numId w:val="27"/>
              </w:num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 w:rsidRPr="0096153D">
              <w:rPr>
                <w:rFonts w:ascii="Verdana" w:hAnsi="Verdana"/>
                <w:spacing w:val="40"/>
                <w:sz w:val="22"/>
              </w:rPr>
              <w:t>Barrier A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B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96153D" w:rsidRDefault="0096153D" w:rsidP="00961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6680"/>
      </w:tblGrid>
      <w:tr w:rsidR="0096153D" w:rsidTr="00DC37BF">
        <w:tc>
          <w:tcPr>
            <w:tcW w:w="10296" w:type="dxa"/>
            <w:gridSpan w:val="2"/>
            <w:shd w:val="clear" w:color="auto" w:fill="F2F2F2" w:themeFill="background1" w:themeFillShade="F2"/>
          </w:tcPr>
          <w:p w:rsidR="0096153D" w:rsidRPr="0096153D" w:rsidRDefault="0096153D" w:rsidP="00DC37BF">
            <w:pPr>
              <w:spacing w:before="120" w:after="80"/>
              <w:jc w:val="center"/>
              <w:rPr>
                <w:rFonts w:ascii="Verdana" w:hAnsi="Verdana"/>
                <w:spacing w:val="40"/>
              </w:rPr>
            </w:pPr>
            <w:r>
              <w:rPr>
                <w:rFonts w:ascii="Verdana" w:hAnsi="Verdana"/>
                <w:spacing w:val="40"/>
                <w:sz w:val="22"/>
              </w:rPr>
              <w:t>Barrier C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ADA Checklist Section:</w:t>
            </w:r>
          </w:p>
        </w:tc>
        <w:tc>
          <w:tcPr>
            <w:tcW w:w="6858" w:type="dxa"/>
          </w:tcPr>
          <w:p w:rsidR="0096153D" w:rsidRDefault="0096153D" w:rsidP="00DC37BF">
            <w:r>
              <w:t>4</w:t>
            </w:r>
            <w:r w:rsidRPr="00901BAD">
              <w:t>.</w:t>
            </w:r>
            <w:r w:rsidRPr="0096153D">
              <w:rPr>
                <w:highlight w:val="yellow"/>
              </w:rPr>
              <w:t>_</w:t>
            </w:r>
          </w:p>
        </w:tc>
      </w:tr>
      <w:tr w:rsidR="0096153D" w:rsidTr="00DC37BF">
        <w:tc>
          <w:tcPr>
            <w:tcW w:w="3438" w:type="dxa"/>
          </w:tcPr>
          <w:p w:rsidR="0096153D" w:rsidRPr="0096153D" w:rsidRDefault="0096153D" w:rsidP="00DC37BF">
            <w:pPr>
              <w:rPr>
                <w:rFonts w:ascii="Verdana" w:hAnsi="Verdana"/>
                <w:spacing w:val="40"/>
                <w:sz w:val="20"/>
              </w:rPr>
            </w:pPr>
            <w:r w:rsidRPr="0096153D">
              <w:rPr>
                <w:rFonts w:ascii="Verdana" w:hAnsi="Verdana"/>
                <w:spacing w:val="40"/>
                <w:sz w:val="20"/>
              </w:rPr>
              <w:t>Description:</w:t>
            </w:r>
          </w:p>
        </w:tc>
        <w:tc>
          <w:tcPr>
            <w:tcW w:w="6858" w:type="dxa"/>
          </w:tcPr>
          <w:p w:rsidR="0096153D" w:rsidRDefault="0096153D" w:rsidP="00DC37BF">
            <w:r w:rsidRPr="00901BAD">
              <w:rPr>
                <w:highlight w:val="yellow"/>
              </w:rPr>
              <w:t>Highlight this text and type a barrier description here.</w:t>
            </w:r>
          </w:p>
        </w:tc>
      </w:tr>
    </w:tbl>
    <w:p w:rsidR="00DA2BD7" w:rsidRPr="009D7B82" w:rsidRDefault="00DA2BD7" w:rsidP="00BE41DC"/>
    <w:p w:rsidR="005928A5" w:rsidRDefault="00AC0EA9" w:rsidP="00AC0EA9">
      <w:pPr>
        <w:pStyle w:val="Heading1"/>
      </w:pPr>
      <w:r>
        <w:t>Authors</w:t>
      </w:r>
    </w:p>
    <w:p w:rsidR="00AC0EA9" w:rsidRDefault="00AC0EA9" w:rsidP="00AC0EA9">
      <w:r>
        <w:t>This report was written by:</w:t>
      </w:r>
    </w:p>
    <w:p w:rsidR="00AC0EA9" w:rsidRDefault="00BE41DC" w:rsidP="0096153D">
      <w:pPr>
        <w:pStyle w:val="ListParagraph"/>
        <w:numPr>
          <w:ilvl w:val="2"/>
          <w:numId w:val="8"/>
        </w:numPr>
        <w:ind w:left="1080"/>
        <w:contextualSpacing w:val="0"/>
      </w:pPr>
      <w:r w:rsidRPr="00BE41DC">
        <w:rPr>
          <w:highlight w:val="yellow"/>
        </w:rPr>
        <w:t>Author Name</w:t>
      </w:r>
      <w:r w:rsidR="00AC0EA9">
        <w:t>, Iowa Vocational Rehabilitation Services</w:t>
      </w:r>
    </w:p>
    <w:p w:rsidR="007430A9" w:rsidRDefault="00BE41DC" w:rsidP="0096153D">
      <w:pPr>
        <w:pStyle w:val="ListParagraph"/>
        <w:numPr>
          <w:ilvl w:val="2"/>
          <w:numId w:val="8"/>
        </w:numPr>
        <w:ind w:left="1080"/>
        <w:contextualSpacing w:val="0"/>
      </w:pPr>
      <w:r w:rsidRPr="00BE41DC">
        <w:rPr>
          <w:highlight w:val="yellow"/>
        </w:rPr>
        <w:t>Author Name</w:t>
      </w:r>
      <w:r w:rsidR="00AC0EA9">
        <w:t xml:space="preserve">, Iowa </w:t>
      </w:r>
      <w:r w:rsidR="007430A9">
        <w:t>Department for the Blind</w:t>
      </w:r>
    </w:p>
    <w:p w:rsidR="00745EDC" w:rsidRDefault="00BE41DC" w:rsidP="0096153D">
      <w:pPr>
        <w:pStyle w:val="ListParagraph"/>
        <w:numPr>
          <w:ilvl w:val="2"/>
          <w:numId w:val="8"/>
        </w:numPr>
        <w:ind w:left="1080"/>
        <w:contextualSpacing w:val="0"/>
      </w:pPr>
      <w:r w:rsidRPr="00BE41DC">
        <w:rPr>
          <w:highlight w:val="yellow"/>
        </w:rPr>
        <w:t>Author Name</w:t>
      </w:r>
      <w:r>
        <w:t>, Iowa Workforce Development</w:t>
      </w:r>
    </w:p>
    <w:p w:rsidR="00BE41DC" w:rsidRPr="00745EDC" w:rsidRDefault="00BE41DC" w:rsidP="0096153D">
      <w:pPr>
        <w:pStyle w:val="ListParagraph"/>
        <w:numPr>
          <w:ilvl w:val="2"/>
          <w:numId w:val="8"/>
        </w:numPr>
        <w:ind w:left="1080"/>
        <w:contextualSpacing w:val="0"/>
      </w:pPr>
      <w:r w:rsidRPr="00745EDC">
        <w:rPr>
          <w:highlight w:val="yellow"/>
        </w:rPr>
        <w:t>Author Name</w:t>
      </w:r>
      <w:r w:rsidRPr="00745EDC">
        <w:t>,</w:t>
      </w:r>
      <w:r>
        <w:t xml:space="preserve"> </w:t>
      </w:r>
      <w:r w:rsidR="00745EDC" w:rsidRPr="00745EDC">
        <w:rPr>
          <w:highlight w:val="yellow"/>
        </w:rPr>
        <w:t>Name of Entity</w:t>
      </w:r>
      <w:r w:rsidR="00745EDC">
        <w:t>, WIOA Title II</w:t>
      </w:r>
      <w:r w:rsidRPr="00745EDC">
        <w:t xml:space="preserve"> Eligible Provider</w:t>
      </w:r>
    </w:p>
    <w:p w:rsidR="00AC0EA9" w:rsidRDefault="00AC0EA9" w:rsidP="00AC0EA9">
      <w:pPr>
        <w:pStyle w:val="Heading1"/>
      </w:pPr>
      <w:r>
        <w:t>Approval by Disability Access Committee</w:t>
      </w:r>
    </w:p>
    <w:p w:rsidR="00AC0EA9" w:rsidRDefault="00AC0EA9" w:rsidP="00AC0EA9">
      <w:r>
        <w:t xml:space="preserve">This report was approved by the Disability Access Committee for submission to the Local Workforce Development Board on </w:t>
      </w:r>
      <w:r w:rsidRPr="00BE41DC">
        <w:rPr>
          <w:highlight w:val="yellow"/>
        </w:rPr>
        <w:t>__________</w:t>
      </w:r>
      <w:r>
        <w:t>, 2017.</w:t>
      </w:r>
    </w:p>
    <w:p w:rsidR="00AC0EA9" w:rsidRDefault="00AC0EA9" w:rsidP="00AC0EA9"/>
    <w:p w:rsidR="00AC0EA9" w:rsidRDefault="00AC0EA9" w:rsidP="00AC0EA9">
      <w:pPr>
        <w:pStyle w:val="Heading1"/>
      </w:pPr>
      <w:r>
        <w:t>Adoption by the Local Workforce Development Board</w:t>
      </w:r>
    </w:p>
    <w:p w:rsidR="00AC0EA9" w:rsidRDefault="00AC0EA9" w:rsidP="00AC0EA9">
      <w:r>
        <w:t xml:space="preserve">This report was adopted by the Local Workforce Development Board on </w:t>
      </w:r>
      <w:r w:rsidRPr="00BE41DC">
        <w:rPr>
          <w:highlight w:val="yellow"/>
        </w:rPr>
        <w:t>_______________</w:t>
      </w:r>
      <w:r>
        <w:t>, 2017.</w:t>
      </w:r>
    </w:p>
    <w:p w:rsidR="00BE41DC" w:rsidRDefault="00BE41DC" w:rsidP="00BE41DC">
      <w:pPr>
        <w:pStyle w:val="Heading1"/>
      </w:pPr>
      <w:r>
        <w:t>Submission to the State Disability Access Committee</w:t>
      </w:r>
    </w:p>
    <w:p w:rsidR="00DC50AC" w:rsidRPr="00BE41DC" w:rsidRDefault="00BE41DC" w:rsidP="00DC50AC">
      <w:r>
        <w:t xml:space="preserve">This report was submitted to the State Disability Access Committee on </w:t>
      </w:r>
      <w:r w:rsidRPr="00BE41DC">
        <w:rPr>
          <w:highlight w:val="yellow"/>
        </w:rPr>
        <w:t>_______________</w:t>
      </w:r>
      <w:r>
        <w:t>, 2017.</w:t>
      </w:r>
    </w:p>
    <w:sectPr w:rsidR="00DC50AC" w:rsidRPr="00BE41DC" w:rsidSect="00174BE8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08" w:rsidRDefault="00E12408" w:rsidP="00CD1E79">
      <w:pPr>
        <w:spacing w:after="0"/>
      </w:pPr>
      <w:r>
        <w:separator/>
      </w:r>
    </w:p>
  </w:endnote>
  <w:endnote w:type="continuationSeparator" w:id="0">
    <w:p w:rsidR="00E12408" w:rsidRDefault="00E12408" w:rsidP="00CD1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color w:val="808080" w:themeColor="background1" w:themeShade="80"/>
        <w:sz w:val="20"/>
      </w:rPr>
      <w:id w:val="31823421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808080" w:themeColor="background1" w:themeShade="80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2408" w:rsidRPr="00E27AC3" w:rsidRDefault="00E12408" w:rsidP="00F03E60">
            <w:pPr>
              <w:pStyle w:val="Footer"/>
              <w:spacing w:before="40" w:after="40"/>
              <w:jc w:val="center"/>
              <w:rPr>
                <w:rFonts w:ascii="Verdana" w:hAnsi="Verdana"/>
                <w:color w:val="808080" w:themeColor="background1" w:themeShade="80"/>
                <w:spacing w:val="60"/>
                <w:sz w:val="18"/>
              </w:rPr>
            </w:pPr>
            <w:r w:rsidRPr="00E27AC3">
              <w:rPr>
                <w:rFonts w:ascii="Verdana" w:hAnsi="Verdana"/>
                <w:color w:val="808080" w:themeColor="background1" w:themeShade="80"/>
                <w:spacing w:val="60"/>
                <w:sz w:val="18"/>
              </w:rPr>
              <w:t>Physical Accessibility Report</w:t>
            </w:r>
          </w:p>
          <w:p w:rsidR="00E12408" w:rsidRPr="00CD1E79" w:rsidRDefault="00E12408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  <w:sz w:val="20"/>
              </w:rPr>
            </w:pPr>
            <w:r w:rsidRPr="00E27AC3">
              <w:rPr>
                <w:rFonts w:ascii="Verdana" w:hAnsi="Verdana"/>
                <w:color w:val="808080" w:themeColor="background1" w:themeShade="80"/>
                <w:spacing w:val="60"/>
                <w:sz w:val="18"/>
              </w:rPr>
              <w:t xml:space="preserve">Page </w:t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  <w:szCs w:val="24"/>
              </w:rPr>
              <w:fldChar w:fldCharType="begin"/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</w:rPr>
              <w:instrText xml:space="preserve"> PAGE </w:instrText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  <w:szCs w:val="24"/>
              </w:rPr>
              <w:fldChar w:fldCharType="separate"/>
            </w:r>
            <w:r w:rsidR="001C432D">
              <w:rPr>
                <w:rFonts w:ascii="Verdana" w:hAnsi="Verdana"/>
                <w:b/>
                <w:bCs/>
                <w:noProof/>
                <w:color w:val="808080" w:themeColor="background1" w:themeShade="80"/>
                <w:spacing w:val="60"/>
                <w:sz w:val="18"/>
              </w:rPr>
              <w:t>1</w:t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  <w:szCs w:val="24"/>
              </w:rPr>
              <w:fldChar w:fldCharType="end"/>
            </w:r>
            <w:r w:rsidRPr="00E27AC3">
              <w:rPr>
                <w:rFonts w:ascii="Verdana" w:hAnsi="Verdana"/>
                <w:color w:val="808080" w:themeColor="background1" w:themeShade="80"/>
                <w:spacing w:val="60"/>
                <w:sz w:val="18"/>
              </w:rPr>
              <w:t xml:space="preserve"> of </w:t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  <w:szCs w:val="24"/>
              </w:rPr>
              <w:fldChar w:fldCharType="begin"/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</w:rPr>
              <w:instrText xml:space="preserve"> NUMPAGES  </w:instrText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  <w:szCs w:val="24"/>
              </w:rPr>
              <w:fldChar w:fldCharType="separate"/>
            </w:r>
            <w:r w:rsidR="001C432D">
              <w:rPr>
                <w:rFonts w:ascii="Verdana" w:hAnsi="Verdana"/>
                <w:b/>
                <w:bCs/>
                <w:noProof/>
                <w:color w:val="808080" w:themeColor="background1" w:themeShade="80"/>
                <w:spacing w:val="60"/>
                <w:sz w:val="18"/>
              </w:rPr>
              <w:t>18</w:t>
            </w:r>
            <w:r w:rsidRPr="00E27AC3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8"/>
                <w:szCs w:val="24"/>
              </w:rPr>
              <w:fldChar w:fldCharType="end"/>
            </w:r>
          </w:p>
        </w:sdtContent>
      </w:sdt>
    </w:sdtContent>
  </w:sdt>
  <w:p w:rsidR="00E12408" w:rsidRDefault="00E12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08" w:rsidRDefault="00E12408" w:rsidP="00CD1E79">
      <w:pPr>
        <w:spacing w:after="0"/>
      </w:pPr>
      <w:r>
        <w:separator/>
      </w:r>
    </w:p>
  </w:footnote>
  <w:footnote w:type="continuationSeparator" w:id="0">
    <w:p w:rsidR="00E12408" w:rsidRDefault="00E12408" w:rsidP="00CD1E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F4F"/>
    <w:multiLevelType w:val="hybridMultilevel"/>
    <w:tmpl w:val="579ECB02"/>
    <w:lvl w:ilvl="0" w:tplc="A1968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93C"/>
    <w:multiLevelType w:val="hybridMultilevel"/>
    <w:tmpl w:val="76203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2026FB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10A3B"/>
    <w:multiLevelType w:val="multilevel"/>
    <w:tmpl w:val="5E4AB0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3">
    <w:nsid w:val="08F371B3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0ACA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5D99"/>
    <w:multiLevelType w:val="hybridMultilevel"/>
    <w:tmpl w:val="AC68ABE2"/>
    <w:lvl w:ilvl="0" w:tplc="CFEE93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232B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D0046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6768F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F0ABF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06621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A78A0"/>
    <w:multiLevelType w:val="hybridMultilevel"/>
    <w:tmpl w:val="7C02DC56"/>
    <w:lvl w:ilvl="0" w:tplc="CFEE93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818EC4E">
      <w:start w:val="1"/>
      <w:numFmt w:val="upperRoman"/>
      <w:lvlText w:val="%4."/>
      <w:lvlJc w:val="left"/>
      <w:pPr>
        <w:ind w:left="3600" w:hanging="1080"/>
      </w:pPr>
      <w:rPr>
        <w:rFonts w:hint="default"/>
      </w:rPr>
    </w:lvl>
    <w:lvl w:ilvl="4" w:tplc="B7C6C432">
      <w:start w:val="1"/>
      <w:numFmt w:val="decimal"/>
      <w:lvlText w:val="%5."/>
      <w:lvlJc w:val="left"/>
      <w:pPr>
        <w:ind w:left="3960" w:hanging="720"/>
      </w:pPr>
      <w:rPr>
        <w:rFonts w:hint="default"/>
      </w:rPr>
    </w:lvl>
    <w:lvl w:ilvl="5" w:tplc="4A68EDE8">
      <w:start w:val="1"/>
      <w:numFmt w:val="lowerLetter"/>
      <w:lvlText w:val="%6."/>
      <w:lvlJc w:val="left"/>
      <w:pPr>
        <w:ind w:left="4320" w:hanging="360"/>
      </w:pPr>
      <w:rPr>
        <w:rFonts w:hint="default"/>
        <w:b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51196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13AB1"/>
    <w:multiLevelType w:val="hybridMultilevel"/>
    <w:tmpl w:val="21843128"/>
    <w:lvl w:ilvl="0" w:tplc="5ACA51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A149A"/>
    <w:multiLevelType w:val="hybridMultilevel"/>
    <w:tmpl w:val="1E2A9DC0"/>
    <w:lvl w:ilvl="0" w:tplc="3D30ED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9B358E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6236C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87E64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C0DFE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14877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35FE5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13CC2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86F05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978FE"/>
    <w:multiLevelType w:val="hybridMultilevel"/>
    <w:tmpl w:val="18246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07369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C6784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B4CC1"/>
    <w:multiLevelType w:val="hybridMultilevel"/>
    <w:tmpl w:val="E5C8ED1E"/>
    <w:lvl w:ilvl="0" w:tplc="458EC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2"/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14"/>
  </w:num>
  <w:num w:numId="10">
    <w:abstractNumId w:val="24"/>
  </w:num>
  <w:num w:numId="11">
    <w:abstractNumId w:val="4"/>
  </w:num>
  <w:num w:numId="12">
    <w:abstractNumId w:val="6"/>
  </w:num>
  <w:num w:numId="13">
    <w:abstractNumId w:val="15"/>
  </w:num>
  <w:num w:numId="14">
    <w:abstractNumId w:val="3"/>
  </w:num>
  <w:num w:numId="15">
    <w:abstractNumId w:val="22"/>
  </w:num>
  <w:num w:numId="16">
    <w:abstractNumId w:val="19"/>
  </w:num>
  <w:num w:numId="17">
    <w:abstractNumId w:val="21"/>
  </w:num>
  <w:num w:numId="18">
    <w:abstractNumId w:val="8"/>
  </w:num>
  <w:num w:numId="19">
    <w:abstractNumId w:val="26"/>
  </w:num>
  <w:num w:numId="20">
    <w:abstractNumId w:val="10"/>
  </w:num>
  <w:num w:numId="21">
    <w:abstractNumId w:val="20"/>
  </w:num>
  <w:num w:numId="22">
    <w:abstractNumId w:val="9"/>
  </w:num>
  <w:num w:numId="23">
    <w:abstractNumId w:val="16"/>
  </w:num>
  <w:num w:numId="24">
    <w:abstractNumId w:val="18"/>
  </w:num>
  <w:num w:numId="25">
    <w:abstractNumId w:val="12"/>
  </w:num>
  <w:num w:numId="26">
    <w:abstractNumId w:val="25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EF"/>
    <w:rsid w:val="000057B5"/>
    <w:rsid w:val="0002501C"/>
    <w:rsid w:val="000B54DB"/>
    <w:rsid w:val="00111C56"/>
    <w:rsid w:val="00127F1C"/>
    <w:rsid w:val="00156D5E"/>
    <w:rsid w:val="00174BE8"/>
    <w:rsid w:val="001B2358"/>
    <w:rsid w:val="001C432D"/>
    <w:rsid w:val="00211D9C"/>
    <w:rsid w:val="00264F28"/>
    <w:rsid w:val="002706C8"/>
    <w:rsid w:val="002A3A76"/>
    <w:rsid w:val="002F2443"/>
    <w:rsid w:val="00330BF8"/>
    <w:rsid w:val="003A00EC"/>
    <w:rsid w:val="003C6969"/>
    <w:rsid w:val="003F1E67"/>
    <w:rsid w:val="00454D75"/>
    <w:rsid w:val="004D06B2"/>
    <w:rsid w:val="004D3267"/>
    <w:rsid w:val="0050272B"/>
    <w:rsid w:val="005604FD"/>
    <w:rsid w:val="0056505B"/>
    <w:rsid w:val="005877BF"/>
    <w:rsid w:val="005928A5"/>
    <w:rsid w:val="005A53AE"/>
    <w:rsid w:val="0066717B"/>
    <w:rsid w:val="006D30B5"/>
    <w:rsid w:val="006D7958"/>
    <w:rsid w:val="0074171D"/>
    <w:rsid w:val="007430A9"/>
    <w:rsid w:val="00745EDC"/>
    <w:rsid w:val="00753B75"/>
    <w:rsid w:val="008651A3"/>
    <w:rsid w:val="008D1A1E"/>
    <w:rsid w:val="00901BAD"/>
    <w:rsid w:val="00954C9A"/>
    <w:rsid w:val="0096153D"/>
    <w:rsid w:val="009C2C9E"/>
    <w:rsid w:val="009D7B82"/>
    <w:rsid w:val="00A07FA4"/>
    <w:rsid w:val="00A66AE1"/>
    <w:rsid w:val="00A819AB"/>
    <w:rsid w:val="00AB4F21"/>
    <w:rsid w:val="00AB71BE"/>
    <w:rsid w:val="00AC0EA9"/>
    <w:rsid w:val="00AC5717"/>
    <w:rsid w:val="00AD532C"/>
    <w:rsid w:val="00B7340C"/>
    <w:rsid w:val="00BA2C58"/>
    <w:rsid w:val="00BD7BEF"/>
    <w:rsid w:val="00BE41DC"/>
    <w:rsid w:val="00C5649E"/>
    <w:rsid w:val="00C86514"/>
    <w:rsid w:val="00CC7500"/>
    <w:rsid w:val="00CD1E79"/>
    <w:rsid w:val="00CD7737"/>
    <w:rsid w:val="00D3768B"/>
    <w:rsid w:val="00D46E59"/>
    <w:rsid w:val="00D84919"/>
    <w:rsid w:val="00DA2BD7"/>
    <w:rsid w:val="00DC50AC"/>
    <w:rsid w:val="00DC71C5"/>
    <w:rsid w:val="00E12408"/>
    <w:rsid w:val="00E27AC3"/>
    <w:rsid w:val="00E34040"/>
    <w:rsid w:val="00EE79E0"/>
    <w:rsid w:val="00F0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6476D-F10C-4FE3-B80D-81822DD5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1BE"/>
    <w:pPr>
      <w:spacing w:line="240" w:lineRule="auto"/>
    </w:pPr>
    <w:rPr>
      <w:rFonts w:ascii="Baskerville Old Face" w:hAnsi="Baskerville Old Fac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E60"/>
    <w:pPr>
      <w:keepNext/>
      <w:keepLines/>
      <w:pBdr>
        <w:top w:val="single" w:sz="12" w:space="1" w:color="008080"/>
      </w:pBdr>
      <w:spacing w:before="600" w:after="240"/>
      <w:outlineLvl w:val="0"/>
    </w:pPr>
    <w:rPr>
      <w:rFonts w:ascii="Verdana" w:eastAsiaTheme="majorEastAsia" w:hAnsi="Verdana" w:cstheme="majorBidi"/>
      <w:b/>
      <w:bCs/>
      <w:color w:val="008080"/>
      <w:spacing w:val="4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05B"/>
    <w:pPr>
      <w:keepNext/>
      <w:keepLines/>
      <w:spacing w:before="240" w:after="240"/>
      <w:outlineLvl w:val="1"/>
    </w:pPr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17"/>
    <w:pPr>
      <w:keepNext/>
      <w:keepLines/>
      <w:spacing w:before="240" w:after="240"/>
      <w:outlineLvl w:val="2"/>
    </w:pPr>
    <w:rPr>
      <w:rFonts w:ascii="Verdana" w:eastAsiaTheme="majorEastAsia" w:hAnsi="Verdana" w:cstheme="majorBidi"/>
      <w:b/>
      <w:bCs/>
      <w:spacing w:val="2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443"/>
    <w:pPr>
      <w:spacing w:before="240" w:after="240"/>
      <w:outlineLvl w:val="3"/>
    </w:pPr>
    <w:rPr>
      <w:rFonts w:ascii="Verdana" w:eastAsiaTheme="majorEastAsia" w:hAnsi="Verdana" w:cstheme="majorBidi"/>
      <w:bCs/>
      <w:iCs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B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532C"/>
    <w:rPr>
      <w:color w:val="0000FF"/>
      <w:u w:val="single"/>
    </w:rPr>
  </w:style>
  <w:style w:type="table" w:styleId="TableGrid">
    <w:name w:val="Table Grid"/>
    <w:basedOn w:val="TableNormal"/>
    <w:uiPriority w:val="59"/>
    <w:rsid w:val="009C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C2C9E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C9E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BE"/>
    <w:pPr>
      <w:numPr>
        <w:ilvl w:val="1"/>
      </w:numPr>
      <w:spacing w:before="240" w:after="240"/>
      <w:jc w:val="center"/>
    </w:pPr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1BE"/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3E60"/>
    <w:rPr>
      <w:rFonts w:ascii="Verdana" w:eastAsiaTheme="majorEastAsia" w:hAnsi="Verdana" w:cstheme="majorBidi"/>
      <w:b/>
      <w:bCs/>
      <w:color w:val="008080"/>
      <w:spacing w:val="4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505B"/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NoSpacing">
    <w:name w:val="No Spacing"/>
    <w:uiPriority w:val="1"/>
    <w:qFormat/>
    <w:rsid w:val="00F03E60"/>
    <w:pPr>
      <w:spacing w:after="240" w:line="240" w:lineRule="auto"/>
    </w:pPr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1E79"/>
    <w:rPr>
      <w:rFonts w:ascii="Baskerville Old Face" w:hAnsi="Baskerville Old Face"/>
      <w:sz w:val="24"/>
    </w:rPr>
  </w:style>
  <w:style w:type="paragraph" w:styleId="Footer">
    <w:name w:val="footer"/>
    <w:basedOn w:val="Normal"/>
    <w:link w:val="Foot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1E79"/>
    <w:rPr>
      <w:rFonts w:ascii="Baskerville Old Face" w:hAnsi="Baskerville Old Face"/>
      <w:sz w:val="24"/>
    </w:rPr>
  </w:style>
  <w:style w:type="character" w:styleId="SubtleEmphasis">
    <w:name w:val="Subtle Emphasis"/>
    <w:basedOn w:val="DefaultParagraphFont"/>
    <w:uiPriority w:val="19"/>
    <w:qFormat/>
    <w:rsid w:val="00F03E60"/>
    <w:rPr>
      <w:rFonts w:ascii="Verdana" w:hAnsi="Verdana"/>
      <w:i w:val="0"/>
      <w:iCs/>
      <w:color w:val="auto"/>
      <w:sz w:val="24"/>
    </w:rPr>
  </w:style>
  <w:style w:type="character" w:styleId="Strong">
    <w:name w:val="Strong"/>
    <w:basedOn w:val="DefaultParagraphFont"/>
    <w:uiPriority w:val="22"/>
    <w:qFormat/>
    <w:rsid w:val="00F03E60"/>
    <w:rPr>
      <w:rFonts w:ascii="Verdana" w:hAnsi="Verdana"/>
      <w:b w:val="0"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717"/>
    <w:rPr>
      <w:rFonts w:ascii="Verdana" w:eastAsiaTheme="majorEastAsia" w:hAnsi="Verdana" w:cstheme="majorBidi"/>
      <w:b/>
      <w:bCs/>
      <w:spacing w:val="2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443"/>
    <w:rPr>
      <w:rFonts w:ascii="Verdana" w:eastAsiaTheme="majorEastAsia" w:hAnsi="Verdana" w:cstheme="majorBidi"/>
      <w:bCs/>
      <w:iCs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C61C-D30B-48CD-B20D-EE602B14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2519</Words>
  <Characters>14359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Lampley, Natalie [DHR]</dc:creator>
  <cp:lastModifiedBy>Evans, Shelly</cp:lastModifiedBy>
  <cp:revision>2</cp:revision>
  <dcterms:created xsi:type="dcterms:W3CDTF">2017-07-25T13:12:00Z</dcterms:created>
  <dcterms:modified xsi:type="dcterms:W3CDTF">2017-07-25T13:12:00Z</dcterms:modified>
</cp:coreProperties>
</file>