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00000000002" w:type="dxa"/>
        <w:jc w:val="center"/>
        <w:tblBorders>
          <w:top w:color="a6a6a6" w:space="0" w:sz="12" w:val="single"/>
          <w:left w:color="a6a6a6" w:space="0" w:sz="12" w:val="single"/>
          <w:bottom w:color="a6a6a6" w:space="0" w:sz="12" w:val="single"/>
          <w:right w:color="a6a6a6" w:space="0" w:sz="12" w:val="single"/>
          <w:insideH w:color="a6a6a6" w:space="0" w:sz="8" w:val="single"/>
          <w:insideV w:color="a6a6a6" w:space="0" w:sz="12" w:val="single"/>
        </w:tblBorders>
        <w:tblLayout w:type="fixed"/>
        <w:tblLook w:val="0400"/>
      </w:tblPr>
      <w:tblGrid>
        <w:gridCol w:w="2304"/>
        <w:gridCol w:w="8712"/>
        <w:tblGridChange w:id="0">
          <w:tblGrid>
            <w:gridCol w:w="2304"/>
            <w:gridCol w:w="8712"/>
          </w:tblGrid>
        </w:tblGridChange>
      </w:tblGrid>
      <w:tr>
        <w:tc>
          <w:tcPr>
            <w:tcBorders>
              <w:bottom w:color="a6a6a6" w:space="0" w:sz="12" w:val="single"/>
            </w:tcBorders>
            <w:vAlign w:val="center"/>
          </w:tcPr>
          <w:p w:rsidR="00000000" w:rsidDel="00000000" w:rsidP="00000000" w:rsidRDefault="00000000" w:rsidRPr="00000000">
            <w:pPr>
              <w:contextualSpacing w:val="0"/>
              <w:jc w:val="center"/>
              <w:rPr/>
            </w:pPr>
            <w:r w:rsidDel="00000000" w:rsidR="00000000" w:rsidRPr="00000000">
              <w:rPr/>
              <w:drawing>
                <wp:inline distB="0" distT="0" distL="0" distR="0">
                  <wp:extent cx="1337847" cy="1033485"/>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337847" cy="1033485"/>
                          </a:xfrm>
                          <a:prstGeom prst="rect"/>
                          <a:ln/>
                        </pic:spPr>
                      </pic:pic>
                    </a:graphicData>
                  </a:graphic>
                </wp:inline>
              </w:drawing>
            </w:r>
            <w:r w:rsidDel="00000000" w:rsidR="00000000" w:rsidRPr="00000000">
              <w:rPr>
                <w:rtl w:val="0"/>
              </w:rPr>
            </w:r>
          </w:p>
        </w:tc>
        <w:tc>
          <w:tcPr>
            <w:tcBorders>
              <w:bottom w:color="a6a6a6" w:space="0" w:sz="12" w:val="single"/>
            </w:tcBorders>
            <w:vAlign w:val="center"/>
          </w:tcPr>
          <w:p w:rsidR="00000000" w:rsidDel="00000000" w:rsidP="00000000" w:rsidRDefault="00000000" w:rsidRPr="00000000">
            <w:pPr>
              <w:pStyle w:val="Title"/>
              <w:spacing w:after="120" w:before="120" w:lineRule="auto"/>
              <w:contextualSpacing w:val="0"/>
              <w:jc w:val="center"/>
              <w:rPr>
                <w:smallCaps w:val="1"/>
                <w:color w:val="595959"/>
                <w:sz w:val="32"/>
                <w:szCs w:val="32"/>
              </w:rPr>
            </w:pPr>
            <w:r w:rsidDel="00000000" w:rsidR="00000000" w:rsidRPr="00000000">
              <w:rPr>
                <w:smallCaps w:val="1"/>
                <w:color w:val="595959"/>
                <w:sz w:val="32"/>
                <w:szCs w:val="32"/>
                <w:rtl w:val="0"/>
              </w:rPr>
              <w:t xml:space="preserve">Region 6 Disability Access Committee</w:t>
            </w:r>
          </w:p>
          <w:p w:rsidR="00000000" w:rsidDel="00000000" w:rsidP="00000000" w:rsidRDefault="00000000" w:rsidRPr="00000000">
            <w:pPr>
              <w:pStyle w:val="Title"/>
              <w:spacing w:after="120" w:before="120" w:lineRule="auto"/>
              <w:contextualSpacing w:val="0"/>
              <w:jc w:val="center"/>
              <w:rPr>
                <w:b w:val="1"/>
              </w:rPr>
            </w:pPr>
            <w:r w:rsidDel="00000000" w:rsidR="00000000" w:rsidRPr="00000000">
              <w:rPr>
                <w:b w:val="1"/>
                <w:sz w:val="44"/>
                <w:szCs w:val="44"/>
                <w:rtl w:val="0"/>
              </w:rPr>
              <w:t xml:space="preserve">Physical Accessibility Report</w:t>
            </w:r>
            <w:r w:rsidDel="00000000" w:rsidR="00000000" w:rsidRPr="00000000">
              <w:rPr>
                <w:rtl w:val="0"/>
              </w:rPr>
            </w:r>
          </w:p>
        </w:tc>
      </w:tr>
      <w:tr>
        <w:tc>
          <w:tcPr>
            <w:gridSpan w:val="2"/>
            <w:tcBorders>
              <w:top w:color="a6a6a6" w:space="0" w:sz="12" w:val="single"/>
              <w:bottom w:color="a6a6a6" w:space="0" w:sz="12" w:val="single"/>
            </w:tcBorders>
            <w:vAlign w:val="center"/>
          </w:tcPr>
          <w:p w:rsidR="00000000" w:rsidDel="00000000" w:rsidP="00000000" w:rsidRDefault="00000000" w:rsidRPr="00000000">
            <w:pPr>
              <w:pStyle w:val="Subtitle"/>
              <w:spacing w:after="120" w:before="120" w:lineRule="auto"/>
              <w:contextualSpacing w:val="0"/>
              <w:rPr>
                <w:b w:val="0"/>
                <w:color w:val="000000"/>
              </w:rPr>
            </w:pPr>
            <w:r w:rsidDel="00000000" w:rsidR="00000000" w:rsidRPr="00000000">
              <w:rPr>
                <w:b w:val="0"/>
                <w:color w:val="595959"/>
                <w:sz w:val="20"/>
                <w:szCs w:val="20"/>
                <w:rtl w:val="0"/>
              </w:rPr>
              <w:t xml:space="preserve">Date: June 20, 2017</w:t>
            </w:r>
            <w:r w:rsidDel="00000000" w:rsidR="00000000" w:rsidRPr="00000000">
              <w:rPr>
                <w:rtl w:val="0"/>
              </w:rPr>
            </w:r>
          </w:p>
        </w:tc>
      </w:tr>
    </w:tbl>
    <w:p w:rsidR="00000000" w:rsidDel="00000000" w:rsidP="00000000" w:rsidRDefault="00000000" w:rsidRPr="00000000">
      <w:pPr>
        <w:pStyle w:val="Heading1"/>
        <w:contextualSpacing w:val="0"/>
        <w:rPr/>
      </w:pPr>
      <w:r w:rsidDel="00000000" w:rsidR="00000000" w:rsidRPr="00000000">
        <w:rPr>
          <w:rtl w:val="0"/>
        </w:rPr>
        <w:t xml:space="preserve">Background:</w:t>
      </w:r>
    </w:p>
    <w:p w:rsidR="00000000" w:rsidDel="00000000" w:rsidP="00000000" w:rsidRDefault="00000000" w:rsidRPr="000000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The State Workforce Development Board established a Disability Access Committee to lead a Statewide Disability Access Initiative to:</w:t>
      </w:r>
    </w:p>
    <w:p w:rsidR="00000000" w:rsidDel="00000000" w:rsidP="00000000" w:rsidRDefault="00000000" w:rsidRPr="00000000">
      <w:pPr>
        <w:keepNext w:val="0"/>
        <w:keepLines w:val="0"/>
        <w:widowControl w:val="1"/>
        <w:numPr>
          <w:ilvl w:val="2"/>
          <w:numId w:val="30"/>
        </w:numPr>
        <w:pBdr>
          <w:top w:space="0" w:sz="0" w:val="nil"/>
          <w:left w:space="0" w:sz="0" w:val="nil"/>
          <w:bottom w:space="0" w:sz="0" w:val="nil"/>
          <w:right w:space="0" w:sz="0" w:val="nil"/>
          <w:between w:space="0" w:sz="0" w:val="nil"/>
        </w:pBdr>
        <w:shd w:fill="auto" w:val="clear"/>
        <w:spacing w:after="120" w:before="0" w:line="240" w:lineRule="auto"/>
        <w:ind w:left="144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Ensure that Iowa’s one-stop delivery system meets all accessibility requirements for individuals with disabilities under the Iowa Civil Rights Act of 1965, as amended; the Americans with Disabilities Act of 1990, as amended; and the Workforce Innovation and Opportunity Act.</w:t>
      </w:r>
    </w:p>
    <w:p w:rsidR="00000000" w:rsidDel="00000000" w:rsidP="00000000" w:rsidRDefault="00000000" w:rsidRPr="00000000">
      <w:pPr>
        <w:keepNext w:val="0"/>
        <w:keepLines w:val="0"/>
        <w:widowControl w:val="1"/>
        <w:numPr>
          <w:ilvl w:val="2"/>
          <w:numId w:val="30"/>
        </w:numPr>
        <w:pBdr>
          <w:top w:space="0" w:sz="0" w:val="nil"/>
          <w:left w:space="0" w:sz="0" w:val="nil"/>
          <w:bottom w:space="0" w:sz="0" w:val="nil"/>
          <w:right w:space="0" w:sz="0" w:val="nil"/>
          <w:between w:space="0" w:sz="0" w:val="nil"/>
        </w:pBdr>
        <w:shd w:fill="auto" w:val="clear"/>
        <w:spacing w:after="120" w:before="0" w:line="240" w:lineRule="auto"/>
        <w:ind w:left="144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Increase accessibility for individuals with disabilities to the programs, services, and activities of Iowa’s one-stop delivery system.</w:t>
      </w:r>
    </w:p>
    <w:p w:rsidR="00000000" w:rsidDel="00000000" w:rsidP="00000000" w:rsidRDefault="00000000" w:rsidRPr="00000000">
      <w:pPr>
        <w:keepNext w:val="0"/>
        <w:keepLines w:val="0"/>
        <w:widowControl w:val="1"/>
        <w:numPr>
          <w:ilvl w:val="2"/>
          <w:numId w:val="30"/>
        </w:numPr>
        <w:pBdr>
          <w:top w:space="0" w:sz="0" w:val="nil"/>
          <w:left w:space="0" w:sz="0" w:val="nil"/>
          <w:bottom w:space="0" w:sz="0" w:val="nil"/>
          <w:right w:space="0" w:sz="0" w:val="nil"/>
          <w:between w:space="0" w:sz="0" w:val="nil"/>
        </w:pBdr>
        <w:shd w:fill="auto" w:val="clear"/>
        <w:spacing w:after="120" w:before="0" w:line="240" w:lineRule="auto"/>
        <w:ind w:left="144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Continuously improve for individuals with disabilities the provision of services within the one-stop delivery system.</w:t>
      </w:r>
    </w:p>
    <w:p w:rsidR="00000000" w:rsidDel="00000000" w:rsidP="00000000" w:rsidRDefault="00000000" w:rsidRPr="00000000">
      <w:pPr>
        <w:keepNext w:val="0"/>
        <w:keepLines w:val="0"/>
        <w:widowControl w:val="1"/>
        <w:numPr>
          <w:ilvl w:val="2"/>
          <w:numId w:val="30"/>
        </w:numPr>
        <w:pBdr>
          <w:top w:space="0" w:sz="0" w:val="nil"/>
          <w:left w:space="0" w:sz="0" w:val="nil"/>
          <w:bottom w:space="0" w:sz="0" w:val="nil"/>
          <w:right w:space="0" w:sz="0" w:val="nil"/>
          <w:between w:space="0" w:sz="0" w:val="nil"/>
        </w:pBdr>
        <w:shd w:fill="auto" w:val="clear"/>
        <w:spacing w:after="200" w:before="0" w:line="240" w:lineRule="auto"/>
        <w:ind w:left="144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Improve opportunities for individuals with disabilities in competitive integrated employment.</w:t>
      </w:r>
    </w:p>
    <w:p w:rsidR="00000000" w:rsidDel="00000000" w:rsidP="00000000" w:rsidRDefault="00000000" w:rsidRPr="00000000">
      <w:pPr>
        <w:keepNext w:val="0"/>
        <w:keepLines w:val="0"/>
        <w:widowControl w:val="1"/>
        <w:numPr>
          <w:ilvl w:val="1"/>
          <w:numId w:val="28"/>
        </w:numPr>
        <w:pBdr>
          <w:top w:space="0" w:sz="0" w:val="nil"/>
          <w:left w:space="0" w:sz="0" w:val="nil"/>
          <w:bottom w:space="0" w:sz="0" w:val="nil"/>
          <w:right w:space="0" w:sz="0" w:val="nil"/>
          <w:between w:space="0" w:sz="0" w:val="nil"/>
        </w:pBdr>
        <w:shd w:fill="auto" w:val="clear"/>
        <w:spacing w:after="200" w:before="0" w:line="240" w:lineRule="auto"/>
        <w:ind w:left="36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The Disability Access Committee used the 2010 ADA Checklist for Existing Facilities (available online at www.ADAchecklist.org) to perform a physical accessibility assessment on June 20, 2017 of the facility located at: </w:t>
      </w:r>
    </w:p>
    <w:p w:rsidR="00000000" w:rsidDel="00000000" w:rsidP="00000000" w:rsidRDefault="00000000" w:rsidRPr="00000000">
      <w:pPr>
        <w:spacing w:after="0" w:lineRule="auto"/>
        <w:ind w:left="1440" w:firstLine="0"/>
        <w:contextualSpacing w:val="0"/>
        <w:rPr/>
      </w:pPr>
      <w:r w:rsidDel="00000000" w:rsidR="00000000" w:rsidRPr="00000000">
        <w:rPr>
          <w:rtl w:val="0"/>
        </w:rPr>
        <w:t xml:space="preserve">3405 S Center St</w:t>
      </w:r>
    </w:p>
    <w:p w:rsidR="00000000" w:rsidDel="00000000" w:rsidP="00000000" w:rsidRDefault="00000000" w:rsidRPr="00000000">
      <w:pPr>
        <w:ind w:left="1440" w:firstLine="0"/>
        <w:contextualSpacing w:val="0"/>
        <w:rPr/>
      </w:pPr>
      <w:r w:rsidDel="00000000" w:rsidR="00000000" w:rsidRPr="00000000">
        <w:rPr>
          <w:rtl w:val="0"/>
        </w:rPr>
        <w:t xml:space="preserve">Marshalltown, IA 50158</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36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This report contains the barriers identified by the Disability Access Committee during its physical accessibility assessment. </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36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This report’s findings are organized according to the ADA accessibility priorities identified in the Department of Justice Title III regulations, which are equally applicable to state and local government entities:</w:t>
      </w:r>
    </w:p>
    <w:p w:rsidR="00000000" w:rsidDel="00000000" w:rsidP="00000000" w:rsidRDefault="00000000" w:rsidRPr="00000000">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120" w:before="0" w:line="240" w:lineRule="auto"/>
        <w:ind w:left="144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Approach &amp; Entrance</w:t>
      </w:r>
    </w:p>
    <w:p w:rsidR="00000000" w:rsidDel="00000000" w:rsidP="00000000" w:rsidRDefault="00000000" w:rsidRPr="00000000">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120" w:before="0" w:line="240" w:lineRule="auto"/>
        <w:ind w:left="144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Goods &amp; Services</w:t>
      </w:r>
    </w:p>
    <w:p w:rsidR="00000000" w:rsidDel="00000000" w:rsidP="00000000" w:rsidRDefault="00000000" w:rsidRPr="00000000">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120" w:before="0" w:line="240" w:lineRule="auto"/>
        <w:ind w:left="144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Toilet Rooms</w:t>
      </w:r>
    </w:p>
    <w:p w:rsidR="00000000" w:rsidDel="00000000" w:rsidP="00000000" w:rsidRDefault="00000000" w:rsidRPr="00000000">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200" w:before="0" w:line="240" w:lineRule="auto"/>
        <w:ind w:left="144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Additional Access</w:t>
      </w:r>
    </w:p>
    <w:p w:rsidR="00000000" w:rsidDel="00000000" w:rsidP="00000000" w:rsidRDefault="00000000" w:rsidRPr="00000000">
      <w:pPr>
        <w:pStyle w:val="Heading1"/>
        <w:numPr>
          <w:ilvl w:val="4"/>
          <w:numId w:val="30"/>
        </w:numPr>
        <w:ind w:left="720" w:hanging="720"/>
        <w:contextualSpacing w:val="0"/>
        <w:rPr/>
      </w:pPr>
      <w:r w:rsidDel="00000000" w:rsidR="00000000" w:rsidRPr="00000000">
        <w:rPr>
          <w:rtl w:val="0"/>
        </w:rPr>
        <w:t xml:space="preserve">Approach &amp; Entrance</w:t>
      </w:r>
    </w:p>
    <w:p w:rsidR="00000000" w:rsidDel="00000000" w:rsidP="00000000" w:rsidRDefault="00000000" w:rsidRPr="00000000">
      <w:pPr>
        <w:pStyle w:val="Heading2"/>
        <w:numPr>
          <w:ilvl w:val="0"/>
          <w:numId w:val="19"/>
        </w:numPr>
        <w:ind w:left="360" w:hanging="360"/>
        <w:contextualSpacing w:val="0"/>
        <w:rPr/>
      </w:pPr>
      <w:r w:rsidDel="00000000" w:rsidR="00000000" w:rsidRPr="00000000">
        <w:rPr>
          <w:rtl w:val="0"/>
        </w:rPr>
        <w:t xml:space="preserve">An accessible route from site arrival points and an accessible entrance should be provided for everyone. </w:t>
      </w:r>
    </w:p>
    <w:p w:rsidR="00000000" w:rsidDel="00000000" w:rsidP="00000000" w:rsidRDefault="00000000" w:rsidRPr="00000000">
      <w:pPr>
        <w:pStyle w:val="Heading2"/>
        <w:numPr>
          <w:ilvl w:val="0"/>
          <w:numId w:val="19"/>
        </w:numPr>
        <w:ind w:left="360" w:hanging="360"/>
        <w:contextualSpacing w:val="0"/>
        <w:rPr/>
      </w:pPr>
      <w:r w:rsidDel="00000000" w:rsidR="00000000" w:rsidRPr="00000000">
        <w:rPr>
          <w:rtl w:val="0"/>
        </w:rPr>
        <w:t xml:space="preserve">There should be at least one route from all site arrival points that does not require the use of stairs.</w:t>
      </w:r>
    </w:p>
    <w:p w:rsidR="00000000" w:rsidDel="00000000" w:rsidP="00000000" w:rsidRDefault="00000000" w:rsidRPr="00000000">
      <w:pPr>
        <w:pStyle w:val="Heading2"/>
        <w:numPr>
          <w:ilvl w:val="0"/>
          <w:numId w:val="19"/>
        </w:numPr>
        <w:spacing w:after="720" w:lineRule="auto"/>
        <w:ind w:left="360" w:hanging="360"/>
        <w:contextualSpacing w:val="0"/>
        <w:rPr/>
      </w:pPr>
      <w:r w:rsidDel="00000000" w:rsidR="00000000" w:rsidRPr="00000000">
        <w:rPr>
          <w:rtl w:val="0"/>
        </w:rPr>
        <w:t xml:space="preserve">Site arrival points include:  parking, passenger loading zones, public sidewalks, and public transportation stops.</w:t>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Parking.</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1.2–1.12 of the ADA Checklist for Existing Facilities:</w:t>
      </w:r>
    </w:p>
    <w:p w:rsidR="00000000" w:rsidDel="00000000" w:rsidP="00000000" w:rsidRDefault="00000000" w:rsidRPr="0000000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1.</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1</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There isn’t at least 1 accessible route from site arrival points. One entrance has a non-working automatic door. Even if it working, it leads to an area not accessible to the lobby and services</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The main entrance is not accessible.</w:t>
      </w:r>
    </w:p>
    <w:p w:rsidR="00000000" w:rsidDel="00000000" w:rsidP="00000000" w:rsidRDefault="00000000" w:rsidRPr="0000000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1.10: 3 signs identifying accessible spaces are not at least 60 inches above the ground. (57”, 59”, 56”)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Exterior Accessible Route.</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1.13–1.18 of the ADA Checklist for Existing Facilities:</w:t>
      </w:r>
    </w:p>
    <w:p w:rsidR="00000000" w:rsidDel="00000000" w:rsidP="00000000" w:rsidRDefault="00000000" w:rsidRPr="00000000">
      <w:pPr>
        <w:keepNext w:val="0"/>
        <w:keepLines w:val="0"/>
        <w:widowControl w:val="1"/>
        <w:numPr>
          <w:ilvl w:val="5"/>
          <w:numId w:val="30"/>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1.</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_</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w:t>
      </w:r>
      <w:r w:rsidDel="00000000" w:rsidR="00000000" w:rsidRPr="00000000">
        <w:rPr>
          <w:highlight w:val="yellow"/>
          <w:rtl w:val="0"/>
        </w:rPr>
        <w:t xml:space="preserve">None</w:t>
      </w: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Curb Ramps.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1.19–1.24 of the ADA Checklist for Existing Facilities:</w:t>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1.</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37</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No automatic door at the main entrance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right="0"/>
        <w:contextualSpacing w:val="0"/>
        <w:jc w:val="left"/>
        <w:rPr>
          <w:rFonts w:ascii="Libre Baskerville" w:cs="Libre Baskerville" w:eastAsia="Libre Baskerville" w:hAnsi="Libre Baskervil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Exterior Ramps.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1.25–1.36 of the ADA Checklist for Existing Facilities:</w:t>
      </w:r>
    </w:p>
    <w:p w:rsidR="00000000" w:rsidDel="00000000" w:rsidP="00000000" w:rsidRDefault="00000000" w:rsidRPr="0000000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1.</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_</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None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Entrance(s).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1.37–1.49 of the ADA Checklist for Existing Facilities:</w:t>
      </w:r>
    </w:p>
    <w:p w:rsidR="00000000" w:rsidDel="00000000" w:rsidP="00000000" w:rsidRDefault="00000000" w:rsidRPr="0000000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1.</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5</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A van accessible space must be at least 11 feet wide with an aisle that’s at least 5 feet wide. The facility does not have a van accessible parking space that’s at least 11 feet wide. The facility does not have a van accessible parking space with an aisle that’s at least 5 feet wide.</w:t>
      </w:r>
    </w:p>
    <w:p w:rsidR="00000000" w:rsidDel="00000000" w:rsidP="00000000" w:rsidRDefault="00000000" w:rsidRPr="0000000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1.</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37</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The main entrance is not accessible. The second entrance has a non-working power door that does not have a path to the lobby.</w:t>
      </w:r>
    </w:p>
    <w:p w:rsidR="00000000" w:rsidDel="00000000" w:rsidP="00000000" w:rsidRDefault="00000000" w:rsidRPr="0000000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1.</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38</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The alternate entrance has a non-working power door. It can’t be used independently and during the same hours as the main entrance. Once inside this entrance there are no signs or power doors to navigate to the lobby area.</w:t>
      </w:r>
    </w:p>
    <w:p w:rsidR="00000000" w:rsidDel="00000000" w:rsidP="00000000" w:rsidRDefault="00000000" w:rsidRPr="0000000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1.</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39</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The inaccessible main entrance does not have a sign indicating the location of the nearest accessible entrance.</w:t>
      </w:r>
    </w:p>
    <w:p w:rsidR="00000000" w:rsidDel="00000000" w:rsidP="00000000" w:rsidRDefault="00000000" w:rsidRPr="0000000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1.</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40</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The entrance with the non-working power door has the international symbol of accessibility after entering the building. </w:t>
      </w:r>
    </w:p>
    <w:p w:rsidR="00000000" w:rsidDel="00000000" w:rsidP="00000000" w:rsidRDefault="00000000" w:rsidRPr="0000000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1.</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41</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The intended accessible entrance does not have a clear opening width of at least 32 inches when open at 90 degrees. (28” between the door bar and stop).</w:t>
      </w:r>
    </w:p>
    <w:p w:rsidR="00000000" w:rsidDel="00000000" w:rsidP="00000000" w:rsidRDefault="00000000" w:rsidRPr="0000000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ADA Checklist Section 1.</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46</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Neither entrance door takes at least 5 seconds to close from an open position of 90 degrees to a position of 12 degrees from the latch.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numPr>
          <w:ilvl w:val="0"/>
          <w:numId w:val="32"/>
        </w:numPr>
        <w:ind w:left="720" w:hanging="720"/>
        <w:contextualSpacing w:val="0"/>
        <w:rPr/>
      </w:pPr>
      <w:r w:rsidDel="00000000" w:rsidR="00000000" w:rsidRPr="00000000">
        <w:rPr>
          <w:rtl w:val="0"/>
        </w:rPr>
        <w:t xml:space="preserve">  Access to Goods &amp; Services</w:t>
      </w:r>
    </w:p>
    <w:p w:rsidR="00000000" w:rsidDel="00000000" w:rsidP="00000000" w:rsidRDefault="00000000" w:rsidRPr="00000000">
      <w:pPr>
        <w:pStyle w:val="Heading2"/>
        <w:numPr>
          <w:ilvl w:val="0"/>
          <w:numId w:val="19"/>
        </w:numPr>
        <w:spacing w:after="720" w:lineRule="auto"/>
        <w:ind w:left="360" w:hanging="360"/>
        <w:contextualSpacing w:val="0"/>
        <w:rPr/>
      </w:pPr>
      <w:r w:rsidDel="00000000" w:rsidR="00000000" w:rsidRPr="00000000">
        <w:rPr>
          <w:rtl w:val="0"/>
        </w:rPr>
        <w:t xml:space="preserve">The layout of the building should allow people with disabilities to obtain goods and services and to participate in activities without assistance.</w:t>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Accessible Entrance(s).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 2.1 of the ADA Checklist for Existing Facilities:</w:t>
      </w:r>
    </w:p>
    <w:p w:rsidR="00000000" w:rsidDel="00000000" w:rsidP="00000000" w:rsidRDefault="00000000" w:rsidRPr="0000000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1</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The non-working accessible entrance does not provide direct access to the main lobby. It does provide access to the elevator. Exterior doors are 32” wide.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Interior Accessible Route.</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2.2–2.9 of the ADA Checklist for Existing Facilities:</w:t>
      </w:r>
    </w:p>
    <w:p w:rsidR="00000000" w:rsidDel="00000000" w:rsidP="00000000" w:rsidRDefault="00000000" w:rsidRPr="0000000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2</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All public spaces are not on at least one accessible route. Interior doors leading to lobby are 32” wide.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Interior Ramps.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2.10–2.21 of the ADA Checklist for Existing Facilities:</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2.13:  No level landing that is at least 60 inches long and least as wide as the ramp at the top of the ramp.</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15</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On the second floor, both ramps need a second handrail.</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20</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Two handrails don’t extend at least 12” horizontally beyond the top and bottom of the ramps.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Elevators.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2.22–2.31 of the ADA Checklist for Existing Facilities:</w:t>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2.24:  The elevator door does not remain open for at least 20 seconds when activated. (8 seconds)</w:t>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2.31: No tactile star on the main floor elevator jam.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Platform Lifts.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2.32–2.37 of the ADA Checklist for Existing Facilities:</w:t>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_</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none</w:t>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Signs.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2.38–2.39 of the ADA Checklist for Existing Facilities:</w:t>
      </w:r>
    </w:p>
    <w:p w:rsidR="00000000" w:rsidDel="00000000" w:rsidP="00000000" w:rsidRDefault="00000000" w:rsidRPr="00000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2.38:  If there are signs designating permanent rooms and spaces not likely to change over time, e.g. room numbers and letters, room names, and exit signs: Text characters do not contrast with their backgrounds. Text characters are not raised. There isn’t Braille. Signs are not mounted on the latch side of doors. Restroom signage needs to be lowered for 2</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superscript"/>
          <w:rtl w:val="0"/>
        </w:rPr>
        <w:t xml:space="preserve">nd</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floor restrooms so the lowest character is at least 48 inches above the floor and the baseline of the highest character is no more than 60 inches above the floor. Almost all rooms and spaces will need compliant signs.</w:t>
      </w:r>
    </w:p>
    <w:p w:rsidR="00000000" w:rsidDel="00000000" w:rsidP="00000000" w:rsidRDefault="00000000" w:rsidRPr="00000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2.39:  If there are signs that provide direction to or about interior spaces: text characters do not contrast with their backgrounds. Signs are not mounted at least 40 inches above the floor.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Interior Doors.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2.40–2.46 of the ADA Checklist for Existing Facilities: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2.40:  Business service door (28”) opening isn’t at least 32 inches clear, between the face of the door and the stop, when the door is open at 90 degrees.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2.41:  If there is a front approach to the pull side of the door, is there at least 18 inches of maneuvering clearance beyond the latch side plus at least 60 inches clear depth? There is not at the main customer entrance nor 18 inches of clearance at the bottom of the stairs (2 doors).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42</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Entrance with non-working power door needs repairs to the threshold due to a gap.</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43: </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Automatic door is not functioning. It is equipped with hardware that is operable with one hand and does not require tight grasping, pinching or twisting of the wrist. Many interior office doors have round twisting </w:t>
      </w:r>
      <w:r w:rsidDel="00000000" w:rsidR="00000000" w:rsidRPr="00000000">
        <w:rPr>
          <w:rtl w:val="0"/>
        </w:rPr>
        <w:t xml:space="preserve">doorknobs</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that require grasping.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45:</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Can the doors be opened easily (with 5 pounds maximum force)? Most doors require 6-8 lbs. of force to open. Main entrance doors are right at 5 lbs.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ADA Checklist Section 2.</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46:</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If the door has a closer, does it take at least 5 seconds to close from an open position of 90 degrees to a position of 12 degrees from the latch? A majority of the doors take less than 5 seconds and will need adjusted.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Rooms &amp; Spaces.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2.47–2.49 of the ADA Checklist for Existing Facilities:</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47</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Are aisles and pathways to goods and services, and to one of each type of sales and service counters, at least 36 inches wide? Permanent structures are at 36 inches. When chairs are being used, the measurement is less than 36 inches. Staff break room entrance with counter is not 32 inches wide (30”)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Controls.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2.50–2.51 of the ADA Checklist for Existing Facilities: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2.50:  Is there a clear floor space at least 30 inches wide by at least 48 inches long for a forward or parallel approach? Most light switches are at least 48 inches, however, many are not at the 30” wide and 48” parallel approach.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Seating &amp; Benches.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2.52–2.69 of the ADA Checklist for Existing Facilities:</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67</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Two work service computer do not have knee space at least 27 inches high.</w:t>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Sales and Service Counters.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2.76–2.80 of the ADA Checklist for Existing Facilities:</w:t>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2.</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_</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pStyle w:val="Heading1"/>
        <w:numPr>
          <w:ilvl w:val="0"/>
          <w:numId w:val="32"/>
        </w:numPr>
        <w:ind w:left="720" w:hanging="720"/>
        <w:contextualSpacing w:val="0"/>
        <w:rPr/>
      </w:pPr>
      <w:r w:rsidDel="00000000" w:rsidR="00000000" w:rsidRPr="00000000">
        <w:rPr>
          <w:rtl w:val="0"/>
        </w:rPr>
        <w:t xml:space="preserve">Toilet Rooms</w:t>
      </w:r>
    </w:p>
    <w:p w:rsidR="00000000" w:rsidDel="00000000" w:rsidP="00000000" w:rsidRDefault="00000000" w:rsidRPr="00000000">
      <w:pPr>
        <w:pStyle w:val="Heading2"/>
        <w:numPr>
          <w:ilvl w:val="0"/>
          <w:numId w:val="6"/>
        </w:numPr>
        <w:spacing w:after="720" w:lineRule="auto"/>
        <w:ind w:left="360" w:hanging="360"/>
        <w:contextualSpacing w:val="0"/>
        <w:rPr/>
      </w:pPr>
      <w:r w:rsidDel="00000000" w:rsidR="00000000" w:rsidRPr="00000000">
        <w:rPr>
          <w:rtl w:val="0"/>
        </w:rPr>
        <w:t xml:space="preserve">When toilet rooms are open to the public they should be accessible to people with disabilities.</w:t>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Toilet Rooms.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3.1–3.3 of the ADA Checklist for Existing Facilities:</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3.11:  Can the door be opened easily (5 pounds of maximum force)? The Women’s restroom requires 8 lbs. of force- upper bathrooms.</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3.12:  The Women’s restroom door closes quicker than 5 seconds- upper bathroom.</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3.18: In a single user toilet room if the door swings in and over a clear floor space at an accessible fixture, is there a clear floor space at least 30x48 inches beyond the swing of the door? No- lower restrooms.</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3.20: If there is a coat hook, is it no less than 15 inches and greater than 48 inches above the floor? Men’s- 54”, Women’s- 52”- upper bathrooms.</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3.30: Is the centerline of the water closet no less than 16 inches and no greater than 18 inches from the side wall or partition? No- 20” for both main level bathrooms.</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3.31: Is clearance provided around the water closet measuring at least 60 inches from the side wall and at least 56 inches from the rear wall? Both men’s and women’s only 48 inches wide- upper bathrooms. No, both main level bathrooms as the sink is in the way.</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3.33: Is there a grab bar at least 42 inches long on the side wall? No, 36 inches in both main level bathrooms. Does the grab bar extend at least 54 inches from the rear wall? No, both main level bathrooms. Is there at least 12 inches clearance between the grab bar and protruding objects above? No, both main level bathrooms.</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3.34: Does the grab bar extend at least 24 inches on the other/open side? No, main level bathrooms. Are there at least 12 inches clearance between the grab bar and the protruding objects above? No, main level bathrooms.</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3.47: Is the compartment at least 60 inches wide? The Men’s bathroom compartment is 48 inches- upper bathroom.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Accessible Route.</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 3.4 of the ADA Checklist for Existing Facilities:</w:t>
      </w:r>
    </w:p>
    <w:p w:rsidR="00000000" w:rsidDel="00000000" w:rsidP="00000000" w:rsidRDefault="00000000" w:rsidRPr="0000000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_</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okay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Signs at Toilet Rooms.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 3.5 of the ADA Checklist for Existing Facilities:</w:t>
      </w:r>
    </w:p>
    <w:p w:rsidR="00000000" w:rsidDel="00000000" w:rsidP="00000000" w:rsidRDefault="00000000" w:rsidRPr="0000000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3.5:  The baseline of the lowest character is not at least 48 inches above the floor and the baseline of the highest character is no more than 60 inches above the floor. The base of the sign is at 60 inches- upper bathrooms.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contextualSpacing w:val="0"/>
        <w:jc w:val="left"/>
        <w:rPr>
          <w:rFonts w:ascii="Libre Baskerville" w:cs="Libre Baskerville" w:eastAsia="Libre Baskerville" w:hAnsi="Libre Baskervil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right="0"/>
        <w:contextualSpacing w:val="0"/>
        <w:jc w:val="left"/>
        <w:rPr>
          <w:rFonts w:ascii="Libre Baskerville" w:cs="Libre Baskerville" w:eastAsia="Libre Baskerville" w:hAnsi="Libre Baskervil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Entrance.</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3.6–3.15 of the ADA Checklist for Existing Facilities:</w:t>
      </w:r>
    </w:p>
    <w:p w:rsidR="00000000" w:rsidDel="00000000" w:rsidP="00000000" w:rsidRDefault="00000000" w:rsidRPr="0000000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311:  </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Upstairs Ladies restroom door requires 8 pounds of force to open (5 pounds maximum).</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right="0"/>
        <w:contextualSpacing w:val="0"/>
        <w:jc w:val="left"/>
        <w:rPr>
          <w:rFonts w:ascii="Libre Baskerville" w:cs="Libre Baskerville" w:eastAsia="Libre Baskerville" w:hAnsi="Libre Baskervil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In the Toilet Room.</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3.16–3.20 of the ADA Checklist for Existing Facilities:</w:t>
      </w:r>
    </w:p>
    <w:p w:rsidR="00000000" w:rsidDel="00000000" w:rsidP="00000000" w:rsidRDefault="00000000" w:rsidRPr="0000000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3.17: Is there clear floor space available for a person in a wheelchair to turn around, i.e. a circle at least 60 inches in diameter or a T-shaped space within a 60-inch square? No- lower bathrooms.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Lavatories.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3.21–3.27 of the ADA Checklist for Existing Facilities:</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3.24</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_</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Is there at least 27 inches clearance from the floor to the bottom of the lavatory that extends at least 8 inches under the lavatory for knee clearance? Need to relocate trash cans to allow knee clearance- upper bathrooms.</w:t>
      </w:r>
    </w:p>
    <w:p w:rsidR="00000000" w:rsidDel="00000000" w:rsidP="00000000" w:rsidRDefault="00000000" w:rsidRPr="0000000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_</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_</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Soap Dispensers &amp; Hand Dryers.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3.28–3.29 of the ADA Checklist for Existing Facilities:</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3.29</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_</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Can the operable parts of the hand dryer or towel dispenser be operated without tight grasping, pinching or twisting of wrist and is the force to activate no greater than 5 pounds. Both dispensers can be pushed to get towels, but it requires 7 pounds of force- upper bathrooms.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right="0"/>
        <w:contextualSpacing w:val="0"/>
        <w:jc w:val="left"/>
        <w:rPr>
          <w:rFonts w:ascii="Libre Baskerville" w:cs="Libre Baskerville" w:eastAsia="Libre Baskerville" w:hAnsi="Libre Baskervil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Water Closets in Single-User Toilet Rooms &amp; Compartments (Stalls).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3.30–3.40 of the ADA Checklist for Existing Facilities:</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3.37:  Is the flush control on the open side of the water closet? The flush control in the men’s restroom is on the wrong side- upper bathroom. The flush control is on the wrong side- main level bathrooms.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Stalls.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3.41–3.50 of the ADA Checklist for Existing Facilities:</w:t>
      </w:r>
    </w:p>
    <w:p w:rsidR="00000000" w:rsidDel="00000000" w:rsidP="00000000" w:rsidRDefault="00000000" w:rsidRPr="0000000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3.</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43</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Main level bathroom doors are not self-closing.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right="0"/>
        <w:contextualSpacing w:val="0"/>
        <w:jc w:val="left"/>
        <w:rPr>
          <w:rFonts w:ascii="Libre Baskerville" w:cs="Libre Baskerville" w:eastAsia="Libre Baskerville" w:hAnsi="Libre Baskervil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numPr>
          <w:ilvl w:val="0"/>
          <w:numId w:val="32"/>
        </w:numPr>
        <w:ind w:left="720" w:hanging="720"/>
        <w:contextualSpacing w:val="0"/>
        <w:rPr/>
      </w:pPr>
      <w:r w:rsidDel="00000000" w:rsidR="00000000" w:rsidRPr="00000000">
        <w:rPr>
          <w:rtl w:val="0"/>
        </w:rPr>
        <w:t xml:space="preserve">Additional Access</w:t>
      </w:r>
    </w:p>
    <w:p w:rsidR="00000000" w:rsidDel="00000000" w:rsidP="00000000" w:rsidRDefault="00000000" w:rsidRPr="00000000">
      <w:pPr>
        <w:pStyle w:val="Heading2"/>
        <w:numPr>
          <w:ilvl w:val="0"/>
          <w:numId w:val="20"/>
        </w:numPr>
        <w:spacing w:after="720" w:lineRule="auto"/>
        <w:ind w:left="360" w:hanging="360"/>
        <w:contextualSpacing w:val="0"/>
        <w:rPr/>
      </w:pPr>
      <w:r w:rsidDel="00000000" w:rsidR="00000000" w:rsidRPr="00000000">
        <w:rPr>
          <w:rtl w:val="0"/>
        </w:rPr>
        <w:t xml:space="preserve">Amenities such as drinking fountains and public telephones should be accessible to people with disabilities.</w:t>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Drinking Fountains.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4.1–4.9 of the ADA Checklist for Existing Facilities:</w:t>
      </w:r>
    </w:p>
    <w:p w:rsidR="00000000" w:rsidDel="00000000" w:rsidP="00000000" w:rsidRDefault="00000000" w:rsidRPr="000000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4.2:  </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If there is a forward approach, no less than 17 inches and no greater than 25 inches of clear floor space extend under the drinking fountain. There is only 14 inches.</w:t>
      </w:r>
      <w:r w:rsidDel="00000000" w:rsidR="00000000" w:rsidRPr="00000000">
        <w:rPr>
          <w:rtl w:val="0"/>
        </w:rPr>
      </w:r>
    </w:p>
    <w:p w:rsidR="00000000" w:rsidDel="00000000" w:rsidP="00000000" w:rsidRDefault="00000000" w:rsidRPr="000000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4.7</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_</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The spout is not at least 15 inches from the rear of the drinking fountain.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right="0"/>
        <w:contextualSpacing w:val="0"/>
        <w:jc w:val="left"/>
        <w:rPr>
          <w:rFonts w:ascii="Libre Baskerville" w:cs="Libre Baskerville" w:eastAsia="Libre Baskerville" w:hAnsi="Libre Baskervil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Public Telephones.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sections 4.10</w:t>
      </w:r>
      <w:r w:rsidDel="00000000" w:rsidR="00000000" w:rsidRPr="00000000">
        <w:rPr>
          <w:rFonts w:ascii="Times New Roman" w:cs="Times New Roman" w:eastAsia="Times New Roman" w:hAnsi="Times New Roman"/>
          <w:rtl w:val="0"/>
        </w:rPr>
        <w:t xml:space="preserve">–4.19 </w:t>
      </w:r>
      <w:r w:rsidDel="00000000" w:rsidR="00000000" w:rsidRPr="00000000">
        <w:rPr>
          <w:rtl w:val="0"/>
        </w:rPr>
        <w:t xml:space="preserve">of the ADA Checklist for Existing Facilities:</w:t>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4.</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_</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no public phone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right="0"/>
        <w:contextualSpacing w:val="0"/>
        <w:jc w:val="left"/>
        <w:rPr>
          <w:rFonts w:ascii="Libre Baskerville" w:cs="Libre Baskerville" w:eastAsia="Libre Baskerville" w:hAnsi="Libre Baskervil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numPr>
          <w:ilvl w:val="1"/>
          <w:numId w:val="32"/>
        </w:numPr>
        <w:ind w:left="1080" w:hanging="1080"/>
        <w:contextualSpacing w:val="0"/>
        <w:rPr/>
      </w:pPr>
      <w:r w:rsidDel="00000000" w:rsidR="00000000" w:rsidRPr="00000000">
        <w:rPr>
          <w:rtl w:val="0"/>
        </w:rPr>
        <w:t xml:space="preserve">Fire Alarm Systems.</w:t>
      </w:r>
    </w:p>
    <w:p w:rsidR="00000000" w:rsidDel="00000000" w:rsidP="00000000" w:rsidRDefault="00000000" w:rsidRPr="00000000">
      <w:pPr>
        <w:contextualSpacing w:val="0"/>
        <w:rPr/>
      </w:pPr>
      <w:r w:rsidDel="00000000" w:rsidR="00000000" w:rsidRPr="00000000">
        <w:rPr>
          <w:rtl w:val="0"/>
        </w:rPr>
        <w:t xml:space="preserve">The Disability Access Committee identified the following barriers in section 4.20 of the ADA Checklist for Existing Facilities:</w:t>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ADA Checklist Section 4.</w:t>
      </w:r>
      <w:r w:rsidDel="00000000" w:rsidR="00000000" w:rsidRPr="00000000">
        <w:rPr>
          <w:rFonts w:ascii="Libre Baskerville" w:cs="Libre Baskerville" w:eastAsia="Libre Baskerville" w:hAnsi="Libre Baskerville"/>
          <w:b w:val="0"/>
          <w:i w:val="0"/>
          <w:smallCaps w:val="0"/>
          <w:strike w:val="0"/>
          <w:color w:val="000000"/>
          <w:sz w:val="24"/>
          <w:szCs w:val="24"/>
          <w:highlight w:val="yellow"/>
          <w:u w:val="none"/>
          <w:vertAlign w:val="baseline"/>
          <w:rtl w:val="0"/>
        </w:rPr>
        <w:t xml:space="preserve">_</w:t>
      </w: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  </w:t>
      </w:r>
      <w:r w:rsidDel="00000000" w:rsidR="00000000" w:rsidRPr="00000000">
        <w:rPr>
          <w:highlight w:val="yellow"/>
          <w:rtl w:val="0"/>
        </w:rPr>
        <w:t xml:space="preserve">None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right="0"/>
        <w:contextualSpacing w:val="0"/>
        <w:jc w:val="left"/>
        <w:rPr>
          <w:rFonts w:ascii="Libre Baskerville" w:cs="Libre Baskerville" w:eastAsia="Libre Baskerville" w:hAnsi="Libre Baskervil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right="0"/>
        <w:contextualSpacing w:val="0"/>
        <w:jc w:val="left"/>
        <w:rPr>
          <w:rFonts w:ascii="Libre Baskerville" w:cs="Libre Baskerville" w:eastAsia="Libre Baskerville" w:hAnsi="Libre Baskervil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t xml:space="preserve">Authors</w:t>
      </w:r>
    </w:p>
    <w:p w:rsidR="00000000" w:rsidDel="00000000" w:rsidP="00000000" w:rsidRDefault="00000000" w:rsidRPr="00000000">
      <w:pPr>
        <w:contextualSpacing w:val="0"/>
        <w:rPr/>
      </w:pPr>
      <w:r w:rsidDel="00000000" w:rsidR="00000000" w:rsidRPr="00000000">
        <w:rPr>
          <w:rtl w:val="0"/>
        </w:rPr>
        <w:t xml:space="preserve">This report was written by:</w:t>
      </w:r>
    </w:p>
    <w:p w:rsidR="00000000" w:rsidDel="00000000" w:rsidP="00000000" w:rsidRDefault="00000000" w:rsidRPr="00000000">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200" w:before="0" w:line="240" w:lineRule="auto"/>
        <w:ind w:left="108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Eric Evans, Iowa Vocational Rehabilitation Services</w:t>
      </w:r>
    </w:p>
    <w:p w:rsidR="00000000" w:rsidDel="00000000" w:rsidP="00000000" w:rsidRDefault="00000000" w:rsidRPr="00000000">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200" w:before="0" w:line="240" w:lineRule="auto"/>
        <w:ind w:left="108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Joe Weigel, Iowa Department for the Blind</w:t>
      </w:r>
    </w:p>
    <w:p w:rsidR="00000000" w:rsidDel="00000000" w:rsidP="00000000" w:rsidRDefault="00000000" w:rsidRPr="00000000">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200" w:before="0" w:line="240" w:lineRule="auto"/>
        <w:ind w:left="108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Arturo Sanchez, Iowa Workforce Development</w:t>
      </w:r>
    </w:p>
    <w:p w:rsidR="00000000" w:rsidDel="00000000" w:rsidP="00000000" w:rsidRDefault="00000000" w:rsidRPr="00000000">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200" w:before="0" w:line="240" w:lineRule="auto"/>
        <w:ind w:left="1080" w:right="0" w:hanging="360"/>
        <w:contextualSpacing w:val="0"/>
        <w:jc w:val="left"/>
        <w:rPr/>
      </w:pPr>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Teresa Klostermann, IVCCD, Intermediary</w:t>
      </w:r>
    </w:p>
    <w:p w:rsidR="00000000" w:rsidDel="00000000" w:rsidP="00000000" w:rsidRDefault="00000000" w:rsidRPr="00000000">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200" w:before="0" w:line="240" w:lineRule="auto"/>
        <w:ind w:left="1080" w:right="0" w:hanging="360"/>
        <w:contextualSpacing w:val="0"/>
        <w:jc w:val="left"/>
        <w:rPr/>
      </w:pPr>
      <w:bookmarkStart w:colFirst="0" w:colLast="0" w:name="_gjdgxs" w:id="0"/>
      <w:bookmarkEnd w:id="0"/>
      <w:r w:rsidDel="00000000" w:rsidR="00000000" w:rsidRPr="00000000">
        <w:rPr>
          <w:rFonts w:ascii="Libre Baskerville" w:cs="Libre Baskerville" w:eastAsia="Libre Baskerville" w:hAnsi="Libre Baskerville"/>
          <w:b w:val="0"/>
          <w:i w:val="0"/>
          <w:smallCaps w:val="0"/>
          <w:strike w:val="0"/>
          <w:color w:val="000000"/>
          <w:sz w:val="24"/>
          <w:szCs w:val="24"/>
          <w:u w:val="none"/>
          <w:shd w:fill="auto" w:val="clear"/>
          <w:vertAlign w:val="baseline"/>
          <w:rtl w:val="0"/>
        </w:rPr>
        <w:t xml:space="preserve">Jon Nunez, IVCCD, Adult Literacy</w:t>
      </w:r>
    </w:p>
    <w:p w:rsidR="00000000" w:rsidDel="00000000" w:rsidP="00000000" w:rsidRDefault="00000000" w:rsidRPr="00000000">
      <w:pPr>
        <w:pStyle w:val="Heading1"/>
        <w:contextualSpacing w:val="0"/>
        <w:rPr/>
      </w:pPr>
      <w:r w:rsidDel="00000000" w:rsidR="00000000" w:rsidRPr="00000000">
        <w:rPr>
          <w:rtl w:val="0"/>
        </w:rPr>
        <w:t xml:space="preserve">Approval by Disability Access Committee</w:t>
      </w:r>
    </w:p>
    <w:p w:rsidR="00000000" w:rsidDel="00000000" w:rsidP="00000000" w:rsidRDefault="00000000" w:rsidRPr="00000000">
      <w:pPr>
        <w:contextualSpacing w:val="0"/>
        <w:rPr/>
      </w:pPr>
      <w:r w:rsidDel="00000000" w:rsidR="00000000" w:rsidRPr="00000000">
        <w:rPr>
          <w:rtl w:val="0"/>
        </w:rPr>
        <w:t xml:space="preserve">This report was approved by the Disability Access Committee for submission to the Local Workforce Development Board on </w:t>
      </w:r>
      <w:r w:rsidDel="00000000" w:rsidR="00000000" w:rsidRPr="00000000">
        <w:rPr>
          <w:highlight w:val="yellow"/>
          <w:rtl w:val="0"/>
        </w:rPr>
        <w:t xml:space="preserve">12/7/17</w:t>
      </w:r>
      <w:r w:rsidDel="00000000" w:rsidR="00000000" w:rsidRPr="00000000">
        <w:rPr>
          <w:rtl w:val="0"/>
        </w:rPr>
        <w:t xml:space="preserve">,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t xml:space="preserve">Adoption by the Local Workforce Development Board</w:t>
      </w:r>
    </w:p>
    <w:p w:rsidR="00000000" w:rsidDel="00000000" w:rsidP="00000000" w:rsidRDefault="00000000" w:rsidRPr="00000000">
      <w:pPr>
        <w:contextualSpacing w:val="0"/>
        <w:rPr/>
      </w:pPr>
      <w:r w:rsidDel="00000000" w:rsidR="00000000" w:rsidRPr="00000000">
        <w:rPr>
          <w:rtl w:val="0"/>
        </w:rPr>
        <w:t xml:space="preserve">This report was adopted by the Local Workforce Development Board on </w:t>
      </w:r>
      <w:r w:rsidDel="00000000" w:rsidR="00000000" w:rsidRPr="00000000">
        <w:rPr>
          <w:highlight w:val="yellow"/>
          <w:rtl w:val="0"/>
        </w:rPr>
        <w:t xml:space="preserve">_______________</w:t>
      </w:r>
      <w:r w:rsidDel="00000000" w:rsidR="00000000" w:rsidRPr="00000000">
        <w:rPr>
          <w:rtl w:val="0"/>
        </w:rPr>
        <w:t xml:space="preserve">, 2017.</w:t>
      </w:r>
    </w:p>
    <w:p w:rsidR="00000000" w:rsidDel="00000000" w:rsidP="00000000" w:rsidRDefault="00000000" w:rsidRPr="00000000">
      <w:pPr>
        <w:pStyle w:val="Heading1"/>
        <w:contextualSpacing w:val="0"/>
        <w:rPr/>
      </w:pPr>
      <w:r w:rsidDel="00000000" w:rsidR="00000000" w:rsidRPr="00000000">
        <w:rPr>
          <w:rtl w:val="0"/>
        </w:rPr>
        <w:t xml:space="preserve">Submission to the State Disability Access Committee</w:t>
      </w:r>
    </w:p>
    <w:p w:rsidR="00000000" w:rsidDel="00000000" w:rsidP="00000000" w:rsidRDefault="00000000" w:rsidRPr="00000000">
      <w:pPr>
        <w:contextualSpacing w:val="0"/>
        <w:rPr/>
      </w:pPr>
      <w:r w:rsidDel="00000000" w:rsidR="00000000" w:rsidRPr="00000000">
        <w:rPr>
          <w:rtl w:val="0"/>
        </w:rPr>
        <w:t xml:space="preserve">This report was submitted to the State Disability Access Committee on </w:t>
      </w:r>
      <w:r w:rsidDel="00000000" w:rsidR="00000000" w:rsidRPr="00000000">
        <w:rPr>
          <w:highlight w:val="yellow"/>
          <w:rtl w:val="0"/>
        </w:rPr>
        <w:t xml:space="preserve">_______________</w:t>
      </w:r>
      <w:r w:rsidDel="00000000" w:rsidR="00000000" w:rsidRPr="00000000">
        <w:rPr>
          <w:rtl w:val="0"/>
        </w:rPr>
        <w:t xml:space="preserve">, 2017.</w:t>
      </w:r>
    </w:p>
    <w:sectPr>
      <w:footerReference r:id="rId7" w:type="default"/>
      <w:pgSz w:h="15840" w:w="12240"/>
      <w:pgMar w:bottom="1440" w:top="144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Verdana"/>
  <w:font w:name="Arial"/>
  <w:font w:name="Times New Roman"/>
  <w:font w:name="Courier New"/>
  <w:font w:name="Libre Baskerville">
    <w:embedRegular w:fontKey="{00000000-0000-0000-0000-000000000000}" r:id="rId1" w:subsetted="0"/>
    <w:embedBold w:fontKey="{00000000-0000-0000-0000-000000000000}" r:id="rId2" w:subsetted="0"/>
    <w:embedItalic w:fontKey="{00000000-0000-0000-0000-000000000000}" r:id="rId3"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0" w:before="40" w:line="240" w:lineRule="auto"/>
      <w:ind w:left="0" w:right="0" w:firstLine="0"/>
      <w:contextualSpacing w:val="0"/>
      <w:jc w:val="center"/>
      <w:rPr>
        <w:rFonts w:ascii="Verdana" w:cs="Verdana" w:eastAsia="Verdana" w:hAnsi="Verdana"/>
        <w:b w:val="0"/>
        <w:i w:val="0"/>
        <w:smallCaps w:val="0"/>
        <w:strike w:val="0"/>
        <w:color w:val="808080"/>
        <w:sz w:val="18"/>
        <w:szCs w:val="18"/>
        <w:u w:val="none"/>
        <w:shd w:fill="auto" w:val="clear"/>
        <w:vertAlign w:val="baseline"/>
      </w:rPr>
    </w:pPr>
    <w:r w:rsidDel="00000000" w:rsidR="00000000" w:rsidRPr="00000000">
      <w:rPr>
        <w:rFonts w:ascii="Verdana" w:cs="Verdana" w:eastAsia="Verdana" w:hAnsi="Verdana"/>
        <w:b w:val="0"/>
        <w:i w:val="0"/>
        <w:smallCaps w:val="0"/>
        <w:strike w:val="0"/>
        <w:color w:val="808080"/>
        <w:sz w:val="18"/>
        <w:szCs w:val="18"/>
        <w:u w:val="none"/>
        <w:shd w:fill="auto" w:val="clear"/>
        <w:vertAlign w:val="baseline"/>
        <w:rtl w:val="0"/>
      </w:rPr>
      <w:t xml:space="preserve">Physical Accessibility Report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Verdana" w:cs="Verdana" w:eastAsia="Verdana" w:hAnsi="Verdana"/>
        <w:b w:val="0"/>
        <w:i w:val="0"/>
        <w:smallCaps w:val="0"/>
        <w:strike w:val="0"/>
        <w:color w:val="80808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8080"/>
        <w:sz w:val="18"/>
        <w:szCs w:val="18"/>
        <w:u w:val="none"/>
        <w:shd w:fill="auto" w:val="clear"/>
        <w:vertAlign w:val="baseline"/>
        <w:rtl w:val="0"/>
      </w:rPr>
      <w:t xml:space="preserve">Page </w:t>
    </w:r>
    <w:r w:rsidDel="00000000" w:rsidR="00000000" w:rsidRPr="00000000">
      <w:rPr>
        <w:rFonts w:ascii="Verdana" w:cs="Verdana" w:eastAsia="Verdana" w:hAnsi="Verdana"/>
        <w:b w:val="1"/>
        <w:i w:val="0"/>
        <w:smallCaps w:val="0"/>
        <w:strike w:val="0"/>
        <w:color w:val="80808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808080"/>
        <w:sz w:val="18"/>
        <w:szCs w:val="18"/>
        <w:u w:val="none"/>
        <w:shd w:fill="auto" w:val="clear"/>
        <w:vertAlign w:val="baseline"/>
        <w:rtl w:val="0"/>
      </w:rPr>
      <w:t xml:space="preserve"> of </w:t>
    </w:r>
    <w:r w:rsidDel="00000000" w:rsidR="00000000" w:rsidRPr="00000000">
      <w:rPr>
        <w:rFonts w:ascii="Verdana" w:cs="Verdana" w:eastAsia="Verdana" w:hAnsi="Verdana"/>
        <w:b w:val="1"/>
        <w:i w:val="0"/>
        <w:smallCaps w:val="0"/>
        <w:strike w:val="0"/>
        <w:color w:val="80808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ind w:left="0" w:right="0" w:firstLine="0"/>
      <w:contextualSpacing w:val="0"/>
      <w:jc w:val="left"/>
      <w:rPr>
        <w:rFonts w:ascii="Libre Baskerville" w:cs="Libre Baskerville" w:eastAsia="Libre Baskerville" w:hAnsi="Libre Baskerville"/>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808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color w:val="00808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color w:val="00808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upperRoman"/>
      <w:lvlText w:val="%4."/>
      <w:lvlJc w:val="left"/>
      <w:pPr>
        <w:ind w:left="3600" w:hanging="1080"/>
      </w:pPr>
      <w:rPr/>
    </w:lvl>
    <w:lvl w:ilvl="4">
      <w:start w:val="1"/>
      <w:numFmt w:val="decimal"/>
      <w:lvlText w:val="%5."/>
      <w:lvlJc w:val="left"/>
      <w:pPr>
        <w:ind w:left="3960" w:hanging="720"/>
      </w:pPr>
      <w:rPr/>
    </w:lvl>
    <w:lvl w:ilvl="5">
      <w:start w:val="1"/>
      <w:numFmt w:val="lowerLetter"/>
      <w:lvlText w:val="%6."/>
      <w:lvlJc w:val="left"/>
      <w:pPr>
        <w:ind w:left="4320" w:hanging="360"/>
      </w:pPr>
      <w:rPr>
        <w:b w:val="1"/>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720"/>
      </w:pPr>
      <w:rPr/>
    </w:lvl>
    <w:lvl w:ilvl="1">
      <w:start w:val="1"/>
      <w:numFmt w:val="decimal"/>
      <w:lvlText w:val="%1.%2."/>
      <w:lvlJc w:val="left"/>
      <w:pPr>
        <w:ind w:left="1080" w:hanging="1080"/>
      </w:pPr>
      <w:rPr/>
    </w:lvl>
    <w:lvl w:ilvl="2">
      <w:start w:val="1"/>
      <w:numFmt w:val="decimal"/>
      <w:lvlText w:val="%1.%2.%3."/>
      <w:lvlJc w:val="left"/>
      <w:pPr>
        <w:ind w:left="1440" w:hanging="1440"/>
      </w:pPr>
      <w:rPr/>
    </w:lvl>
    <w:lvl w:ilvl="3">
      <w:start w:val="1"/>
      <w:numFmt w:val="decimal"/>
      <w:lvlText w:val="%1.%2.%3.%4."/>
      <w:lvlJc w:val="left"/>
      <w:pPr>
        <w:ind w:left="1800" w:hanging="1800"/>
      </w:pPr>
      <w:rPr/>
    </w:lvl>
    <w:lvl w:ilvl="4">
      <w:start w:val="1"/>
      <w:numFmt w:val="decimal"/>
      <w:lvlText w:val="%1.%2.%3.%4.%5."/>
      <w:lvlJc w:val="left"/>
      <w:pPr>
        <w:ind w:left="2160" w:hanging="2160"/>
      </w:pPr>
      <w:rPr/>
    </w:lvl>
    <w:lvl w:ilvl="5">
      <w:start w:val="1"/>
      <w:numFmt w:val="decimal"/>
      <w:lvlText w:val="%1.%2.%3.%4.%5.%6."/>
      <w:lvlJc w:val="left"/>
      <w:pPr>
        <w:ind w:left="2520" w:hanging="2520"/>
      </w:pPr>
      <w:rPr/>
    </w:lvl>
    <w:lvl w:ilvl="6">
      <w:start w:val="1"/>
      <w:numFmt w:val="decimal"/>
      <w:lvlText w:val="%1.%2.%3.%4.%5.%6.%7."/>
      <w:lvlJc w:val="left"/>
      <w:pPr>
        <w:ind w:left="2880" w:hanging="2880"/>
      </w:pPr>
      <w:rPr/>
    </w:lvl>
    <w:lvl w:ilvl="7">
      <w:start w:val="1"/>
      <w:numFmt w:val="decimal"/>
      <w:lvlText w:val="%1.%2.%3.%4.%5.%6.%7.%8."/>
      <w:lvlJc w:val="left"/>
      <w:pPr>
        <w:ind w:left="3240" w:hanging="3240"/>
      </w:pPr>
      <w:rPr/>
    </w:lvl>
    <w:lvl w:ilvl="8">
      <w:start w:val="1"/>
      <w:numFmt w:val="decimal"/>
      <w:lvlText w:val="%1.%2.%3.%4.%5.%6.%7.%8.%9."/>
      <w:lvlJc w:val="left"/>
      <w:pPr>
        <w:ind w:left="3600" w:hanging="3600"/>
      </w:pPr>
      <w:rPr/>
    </w:lvl>
  </w:abstractNum>
  <w:abstractNum w:abstractNumId="33">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Libre Baskerville" w:cs="Libre Baskerville" w:eastAsia="Libre Baskerville" w:hAnsi="Libre Baskerville"/>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8080" w:space="1" w:sz="12" w:val="single"/>
      </w:pBdr>
      <w:spacing w:after="240" w:before="600" w:lineRule="auto"/>
    </w:pPr>
    <w:rPr>
      <w:rFonts w:ascii="Verdana" w:cs="Verdana" w:eastAsia="Verdana" w:hAnsi="Verdana"/>
      <w:b w:val="1"/>
      <w:color w:val="008080"/>
      <w:sz w:val="32"/>
      <w:szCs w:val="32"/>
    </w:rPr>
  </w:style>
  <w:style w:type="paragraph" w:styleId="Heading2">
    <w:name w:val="heading 2"/>
    <w:basedOn w:val="Normal"/>
    <w:next w:val="Normal"/>
    <w:pPr>
      <w:keepNext w:val="1"/>
      <w:keepLines w:val="1"/>
      <w:spacing w:after="240" w:before="240" w:lineRule="auto"/>
    </w:pPr>
    <w:rPr>
      <w:rFonts w:ascii="Verdana" w:cs="Verdana" w:eastAsia="Verdana" w:hAnsi="Verdana"/>
      <w:color w:val="000000"/>
      <w:sz w:val="28"/>
      <w:szCs w:val="28"/>
    </w:rPr>
  </w:style>
  <w:style w:type="paragraph" w:styleId="Heading3">
    <w:name w:val="heading 3"/>
    <w:basedOn w:val="Normal"/>
    <w:next w:val="Normal"/>
    <w:pPr>
      <w:keepNext w:val="1"/>
      <w:keepLines w:val="1"/>
      <w:spacing w:after="240" w:before="240" w:lineRule="auto"/>
    </w:pPr>
    <w:rPr>
      <w:rFonts w:ascii="Verdana" w:cs="Verdana" w:eastAsia="Verdana" w:hAnsi="Verdana"/>
      <w:b w:val="1"/>
      <w:sz w:val="28"/>
      <w:szCs w:val="28"/>
    </w:rPr>
  </w:style>
  <w:style w:type="paragraph" w:styleId="Heading4">
    <w:name w:val="heading 4"/>
    <w:basedOn w:val="Normal"/>
    <w:next w:val="Normal"/>
    <w:pPr>
      <w:spacing w:after="240" w:before="240" w:lineRule="auto"/>
    </w:pPr>
    <w:rPr>
      <w:rFonts w:ascii="Verdana" w:cs="Verdana" w:eastAsia="Verdana" w:hAnsi="Verdana"/>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contextualSpacing w:val="1"/>
    </w:pPr>
    <w:rPr>
      <w:rFonts w:ascii="Verdana" w:cs="Verdana" w:eastAsia="Verdana" w:hAnsi="Verdana"/>
      <w:color w:val="000000"/>
      <w:sz w:val="36"/>
      <w:szCs w:val="36"/>
    </w:rPr>
  </w:style>
  <w:style w:type="paragraph" w:styleId="Subtitle">
    <w:name w:val="Subtitle"/>
    <w:basedOn w:val="Normal"/>
    <w:next w:val="Normal"/>
    <w:pPr>
      <w:spacing w:after="240" w:before="240" w:lineRule="auto"/>
      <w:jc w:val="center"/>
    </w:pPr>
    <w:rPr>
      <w:rFonts w:ascii="Verdana" w:cs="Verdana" w:eastAsia="Verdana" w:hAnsi="Verdana"/>
      <w:b w:val="1"/>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