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D8" w:rsidRDefault="00EF40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Local Plan Modification Transmittal Form</w:t>
      </w:r>
    </w:p>
    <w:p w:rsidR="005D26D8" w:rsidRDefault="005D26D8">
      <w:pPr>
        <w:rPr>
          <w:b/>
          <w:sz w:val="24"/>
          <w:szCs w:val="24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3320"/>
        <w:gridCol w:w="2000"/>
        <w:gridCol w:w="3440"/>
      </w:tblGrid>
      <w:tr w:rsidR="005D26D8">
        <w:trPr>
          <w:trHeight w:val="440"/>
        </w:trPr>
        <w:tc>
          <w:tcPr>
            <w:tcW w:w="53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Completed by LWDB</w:t>
            </w:r>
          </w:p>
        </w:tc>
        <w:tc>
          <w:tcPr>
            <w:tcW w:w="544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STATE USE ONLY</w:t>
            </w:r>
          </w:p>
        </w:tc>
      </w:tr>
      <w:tr w:rsidR="005D26D8">
        <w:tc>
          <w:tcPr>
            <w:tcW w:w="2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LWDB:</w:t>
            </w:r>
          </w:p>
        </w:tc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62123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 15</w:t>
            </w:r>
          </w:p>
        </w:tc>
        <w:tc>
          <w:tcPr>
            <w:tcW w:w="20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Date Received: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5D26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D26D8">
        <w:tc>
          <w:tcPr>
            <w:tcW w:w="2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Submitted:</w:t>
            </w:r>
          </w:p>
        </w:tc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62123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4/9/19</w:t>
            </w:r>
          </w:p>
        </w:tc>
        <w:tc>
          <w:tcPr>
            <w:tcW w:w="20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Date Approved: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5D26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D26D8">
        <w:trPr>
          <w:trHeight w:val="440"/>
        </w:trPr>
        <w:tc>
          <w:tcPr>
            <w:tcW w:w="5360" w:type="dxa"/>
            <w:gridSpan w:val="2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Provide a description of Local Plan changes below:</w:t>
            </w:r>
          </w:p>
        </w:tc>
        <w:tc>
          <w:tcPr>
            <w:tcW w:w="20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Effective Date: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5D26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D26D8">
        <w:trPr>
          <w:trHeight w:val="440"/>
        </w:trPr>
        <w:tc>
          <w:tcPr>
            <w:tcW w:w="5360" w:type="dxa"/>
            <w:gridSpan w:val="2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5D2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Title I Rep:</w:t>
            </w:r>
          </w:p>
        </w:tc>
        <w:tc>
          <w:tcPr>
            <w:tcW w:w="3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5D26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D26D8">
        <w:trPr>
          <w:trHeight w:val="440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EF4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 w:rsidR="00621237">
              <w:rPr>
                <w:sz w:val="24"/>
                <w:szCs w:val="24"/>
              </w:rPr>
              <w:t>d the following to the Region 15</w:t>
            </w:r>
            <w:r>
              <w:rPr>
                <w:sz w:val="24"/>
                <w:szCs w:val="24"/>
              </w:rPr>
              <w:t xml:space="preserve"> Local Service Plan: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Geographical Preference for Enrollment Policy and Procedures:</w:t>
            </w:r>
          </w:p>
          <w:p w:rsidR="005D26D8" w:rsidRDefault="00EF40C2" w:rsidP="00621237">
            <w:pPr>
              <w:pStyle w:val="BodyText"/>
            </w:pPr>
            <w:r>
              <w:t xml:space="preserve">The Geographical Preference for this Region is that the participant must be a resident within the following counties: </w:t>
            </w:r>
            <w:r w:rsidR="00621237">
              <w:t>Appanoose, Davis, Jefferson, Keokuk, Lucas, Mahaska, Monroe, Van Buren, Wapello, and Wayne</w:t>
            </w:r>
            <w:r>
              <w:t xml:space="preserve"> or within the lo</w:t>
            </w:r>
            <w:r>
              <w:t>cal School District boun</w:t>
            </w:r>
            <w:r w:rsidR="00621237">
              <w:t>daries.</w:t>
            </w:r>
            <w:r>
              <w:t xml:space="preserve">  For individuals living outside of these boundaries who request assistance from this Region, the application must be forwarded to the current residency WIOA Title I Director to either approve assista</w:t>
            </w:r>
            <w:r>
              <w:t>nce or defer the application for service to this region.  Approval must be documented in the data management system.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Eligibility Determination Policy for Participation of Minors:</w:t>
            </w:r>
          </w:p>
          <w:p w:rsidR="005D26D8" w:rsidRDefault="00EF4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Region </w:t>
            </w:r>
            <w:r w:rsidR="00621237">
              <w:rPr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LWDB does not authorize any additional responsible adults outsi</w:t>
            </w:r>
            <w:r>
              <w:rPr>
                <w:sz w:val="24"/>
                <w:szCs w:val="24"/>
              </w:rPr>
              <w:t>de of those mentioned in the State Policy to authorize program participation for minors.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Ineligibility to Receive Services Policy:</w:t>
            </w:r>
          </w:p>
          <w:p w:rsidR="005D26D8" w:rsidRDefault="00EF4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the date that the individual is found ineligible to receive services the individual will be mailed a letter stating why they are ineligible and providing them 30 days to respond to correct the ineligible status.  A final determination will be made after</w:t>
            </w:r>
            <w:r>
              <w:rPr>
                <w:sz w:val="24"/>
                <w:szCs w:val="24"/>
              </w:rPr>
              <w:t xml:space="preserve"> the 30 days have expired and the individual will be mailed a letter stating the final determination of services. 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Closure of Services Due to Fraud Policy:</w:t>
            </w:r>
          </w:p>
          <w:p w:rsidR="005D26D8" w:rsidRDefault="00EF4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the date that the individual is found to have committed or attempted to commit fraud to receive </w:t>
            </w:r>
            <w:r>
              <w:rPr>
                <w:sz w:val="24"/>
                <w:szCs w:val="24"/>
              </w:rPr>
              <w:t>services, the individual will be mailed a letter stating the determination and provide them 30 days to respond to the fraud status.  A final determination will be made after the 30 days have expired and the individual will be mailed a letter stating the fi</w:t>
            </w:r>
            <w:r>
              <w:rPr>
                <w:sz w:val="24"/>
                <w:szCs w:val="24"/>
              </w:rPr>
              <w:t>nal determination of services.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Selection of Adult Mentors Policy:</w:t>
            </w:r>
          </w:p>
          <w:p w:rsidR="005D26D8" w:rsidRPr="00621237" w:rsidRDefault="00621237" w:rsidP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bookmarkStart w:id="0" w:name="_gjdgxs" w:colFirst="0" w:colLast="0"/>
            <w:bookmarkStart w:id="1" w:name="_y38rws9syjg7" w:colFirst="0" w:colLast="0"/>
            <w:bookmarkEnd w:id="0"/>
            <w:bookmarkEnd w:id="1"/>
            <w:r>
              <w:rPr>
                <w:sz w:val="24"/>
                <w:szCs w:val="24"/>
              </w:rPr>
              <w:t>Region 15 will</w:t>
            </w:r>
            <w:r w:rsidR="00EF40C2" w:rsidRPr="00621237">
              <w:rPr>
                <w:sz w:val="24"/>
                <w:szCs w:val="24"/>
              </w:rPr>
              <w:t xml:space="preserve"> partner with other Partner Agencies for Adult Mentoring Services.</w:t>
            </w:r>
          </w:p>
          <w:p w:rsidR="00621237" w:rsidRPr="00621237" w:rsidRDefault="00621237" w:rsidP="0062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Objective Assessment Policy:</w:t>
            </w:r>
          </w:p>
          <w:p w:rsidR="005D26D8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15</w:t>
            </w:r>
            <w:r w:rsidR="00EF40C2">
              <w:rPr>
                <w:sz w:val="24"/>
                <w:szCs w:val="24"/>
              </w:rPr>
              <w:t xml:space="preserve"> will utilize one or a combination of the following assessments as part of the Objective Assessment Service:  TABE 9/10, CASAS, CAPS/COPS/COPES, and O*NET Interest Profiler.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21237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21237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21237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21237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 of 3</w:t>
            </w: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Support Services Policy:</w:t>
            </w:r>
          </w:p>
          <w:p w:rsidR="005D26D8" w:rsidRDefault="00EF4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General</w:t>
            </w:r>
          </w:p>
          <w:p w:rsidR="005D26D8" w:rsidRDefault="00EF4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American Job Center partners will work in conjunction to ensure that duplication of services does not happen for dual enrolled participants.</w:t>
            </w:r>
          </w:p>
          <w:p w:rsidR="00621237" w:rsidRDefault="00621237">
            <w:pPr>
              <w:widowControl w:val="0"/>
              <w:spacing w:line="240" w:lineRule="auto"/>
              <w:rPr>
                <w:color w:val="000000"/>
                <w:sz w:val="24"/>
                <w:szCs w:val="24"/>
                <w:u w:val="single"/>
              </w:rPr>
            </w:pPr>
          </w:p>
          <w:p w:rsidR="00621237" w:rsidRDefault="00621237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See Policy Memo 16-2 Change 2.</w:t>
            </w:r>
          </w:p>
          <w:p w:rsidR="00621237" w:rsidRDefault="00621237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Removed the following Support Services:</w:t>
            </w:r>
          </w:p>
          <w:p w:rsidR="00621237" w:rsidRDefault="00621237" w:rsidP="00621237">
            <w:pPr>
              <w:pStyle w:val="ListParagraph"/>
              <w:widowControl w:val="0"/>
              <w:numPr>
                <w:ilvl w:val="3"/>
                <w:numId w:val="2"/>
              </w:num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Counseling</w:t>
            </w:r>
          </w:p>
          <w:p w:rsidR="00621237" w:rsidRPr="00621237" w:rsidRDefault="00621237" w:rsidP="00621237">
            <w:pPr>
              <w:pStyle w:val="ListParagraph"/>
              <w:widowControl w:val="0"/>
              <w:numPr>
                <w:ilvl w:val="3"/>
                <w:numId w:val="2"/>
              </w:num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Residential Meal Support</w:t>
            </w:r>
          </w:p>
          <w:p w:rsidR="00621237" w:rsidRPr="00621237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Additional Assistance for Youth Policy:</w:t>
            </w:r>
          </w:p>
          <w:p w:rsidR="005D26D8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15</w:t>
            </w:r>
            <w:r w:rsidR="00EF40C2">
              <w:rPr>
                <w:sz w:val="24"/>
                <w:szCs w:val="24"/>
              </w:rPr>
              <w:t xml:space="preserve"> identifies the following categories for Youth Needing Additional Service in addition to those outlined in State Policy</w:t>
            </w:r>
            <w:r>
              <w:rPr>
                <w:sz w:val="24"/>
                <w:szCs w:val="24"/>
              </w:rPr>
              <w:t>: None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Economic Self-Sufficiency:</w:t>
            </w:r>
          </w:p>
          <w:p w:rsidR="005D26D8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15</w:t>
            </w:r>
            <w:r w:rsidR="00EF40C2">
              <w:rPr>
                <w:sz w:val="24"/>
                <w:szCs w:val="24"/>
              </w:rPr>
              <w:t xml:space="preserve"> adopts the State Standard for Economic Self-Sufficiency.</w:t>
            </w:r>
          </w:p>
          <w:p w:rsidR="005D26D8" w:rsidRDefault="005D26D8">
            <w:pPr>
              <w:widowControl w:val="0"/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Underemployed Individuals Policy:</w:t>
            </w:r>
          </w:p>
          <w:p w:rsidR="005D26D8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15</w:t>
            </w:r>
            <w:r w:rsidR="00EF40C2">
              <w:rPr>
                <w:sz w:val="24"/>
                <w:szCs w:val="24"/>
              </w:rPr>
              <w:t xml:space="preserve"> outlines the following criteria to qualify as an Underemployed Individual under the Adult and Dislocated Worker Programs:</w:t>
            </w:r>
          </w:p>
          <w:p w:rsidR="005D26D8" w:rsidRDefault="00EF40C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Currently employed on</w:t>
            </w:r>
            <w:r>
              <w:rPr>
                <w:color w:val="000000"/>
                <w:sz w:val="24"/>
                <w:szCs w:val="24"/>
              </w:rPr>
              <w:t xml:space="preserve"> a less than full time basis and is seeking full time employment.</w:t>
            </w:r>
          </w:p>
          <w:p w:rsidR="005D26D8" w:rsidRDefault="00EF40C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Currently in a position that is below their level of skills and training.</w:t>
            </w:r>
          </w:p>
          <w:p w:rsidR="005D26D8" w:rsidRDefault="00EF40C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Currently meets the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definition of a low-income </w:t>
            </w:r>
            <w:r>
              <w:rPr>
                <w:sz w:val="24"/>
                <w:szCs w:val="24"/>
              </w:rPr>
              <w:t>individual</w:t>
            </w:r>
            <w:r>
              <w:rPr>
                <w:color w:val="000000"/>
                <w:sz w:val="24"/>
                <w:szCs w:val="24"/>
              </w:rPr>
              <w:t>, but their current job’s earnings are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not sufficient compared to their previous job’s earnings from their previous employment.  Must be at 80% or below previous earnings.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EF40C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Individualized Career Services Policy:</w:t>
            </w:r>
          </w:p>
          <w:p w:rsidR="005D26D8" w:rsidRDefault="00621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15</w:t>
            </w:r>
            <w:bookmarkStart w:id="2" w:name="_GoBack"/>
            <w:bookmarkEnd w:id="2"/>
            <w:r w:rsidR="00EF40C2">
              <w:rPr>
                <w:sz w:val="24"/>
                <w:szCs w:val="24"/>
              </w:rPr>
              <w:t xml:space="preserve"> will utilize the following assessm</w:t>
            </w:r>
            <w:r w:rsidR="00EF40C2">
              <w:rPr>
                <w:sz w:val="24"/>
                <w:szCs w:val="24"/>
              </w:rPr>
              <w:t>ents to determine eligibility:</w:t>
            </w:r>
          </w:p>
          <w:p w:rsidR="005D26D8" w:rsidRDefault="00EF40C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TABE 9/10 or CASAS</w:t>
            </w:r>
          </w:p>
          <w:p w:rsidR="005D26D8" w:rsidRDefault="00EF4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assessments are approved for use by the National Reporting System.</w:t>
            </w: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D26D8" w:rsidRDefault="0062123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Page 2 of 2</w:t>
            </w:r>
          </w:p>
        </w:tc>
      </w:tr>
      <w:tr w:rsidR="005D26D8">
        <w:trPr>
          <w:trHeight w:val="440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6D8" w:rsidRDefault="005D26D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D26D8" w:rsidRDefault="005D26D8">
      <w:pPr>
        <w:rPr>
          <w:b/>
          <w:sz w:val="24"/>
          <w:szCs w:val="24"/>
        </w:rPr>
      </w:pPr>
    </w:p>
    <w:p w:rsidR="005D26D8" w:rsidRDefault="00EF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Approvals:</w:t>
      </w:r>
    </w:p>
    <w:p w:rsidR="005D26D8" w:rsidRDefault="005D26D8">
      <w:pPr>
        <w:rPr>
          <w:b/>
          <w:sz w:val="24"/>
          <w:szCs w:val="24"/>
        </w:rPr>
      </w:pPr>
    </w:p>
    <w:p w:rsidR="005D26D8" w:rsidRDefault="005D26D8">
      <w:pPr>
        <w:rPr>
          <w:b/>
          <w:sz w:val="24"/>
          <w:szCs w:val="24"/>
        </w:rPr>
      </w:pPr>
    </w:p>
    <w:p w:rsidR="005D26D8" w:rsidRDefault="00EF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           ____________________________________</w:t>
      </w:r>
    </w:p>
    <w:p w:rsidR="005D26D8" w:rsidRDefault="00EF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LWDB Chair                                  Date                    CEO Chair                                  Date</w:t>
      </w:r>
    </w:p>
    <w:p w:rsidR="005D26D8" w:rsidRDefault="005D26D8"/>
    <w:sectPr w:rsidR="005D26D8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433D"/>
    <w:multiLevelType w:val="multilevel"/>
    <w:tmpl w:val="880838D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606012FE"/>
    <w:multiLevelType w:val="multilevel"/>
    <w:tmpl w:val="B41E743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77B10967"/>
    <w:multiLevelType w:val="multilevel"/>
    <w:tmpl w:val="A7D29D3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CC268DC"/>
    <w:multiLevelType w:val="multilevel"/>
    <w:tmpl w:val="09EAA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26D8"/>
    <w:rsid w:val="005D26D8"/>
    <w:rsid w:val="00621237"/>
    <w:rsid w:val="00E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21237"/>
    <w:pPr>
      <w:widowControl w:val="0"/>
      <w:spacing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1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1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21237"/>
    <w:pPr>
      <w:widowControl w:val="0"/>
      <w:spacing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1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Erdmann, Jennifer</dc:creator>
  <cp:lastModifiedBy>Snead, Jennifer</cp:lastModifiedBy>
  <cp:revision>2</cp:revision>
  <dcterms:created xsi:type="dcterms:W3CDTF">2019-04-03T15:46:00Z</dcterms:created>
  <dcterms:modified xsi:type="dcterms:W3CDTF">2019-04-03T15:46:00Z</dcterms:modified>
</cp:coreProperties>
</file>